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14859">
      <w:pPr>
        <w:pStyle w:val="5"/>
        <w:jc w:val="center"/>
        <w:rPr>
          <w:rFonts w:hint="eastAsia" w:ascii="方正小标宋简体" w:hAnsi="宋体" w:eastAsia="方正小标宋简体"/>
          <w:sz w:val="44"/>
          <w:szCs w:val="44"/>
        </w:rPr>
      </w:pPr>
      <w:bookmarkStart w:id="0" w:name="_Hlk176614425"/>
      <w:bookmarkEnd w:id="0"/>
    </w:p>
    <w:p w14:paraId="1D7C13AC">
      <w:pPr>
        <w:pStyle w:val="5"/>
        <w:jc w:val="center"/>
        <w:rPr>
          <w:rFonts w:hint="eastAsia" w:ascii="方正小标宋简体" w:hAnsi="宋体" w:eastAsia="方正小标宋简体"/>
          <w:sz w:val="44"/>
          <w:szCs w:val="44"/>
        </w:rPr>
      </w:pPr>
    </w:p>
    <w:p w14:paraId="54CF6661">
      <w:pPr>
        <w:pStyle w:val="5"/>
        <w:jc w:val="center"/>
        <w:rPr>
          <w:rFonts w:ascii="方正小标宋简体" w:hAnsi="宋体" w:eastAsia="方正小标宋简体"/>
          <w:sz w:val="44"/>
          <w:szCs w:val="44"/>
        </w:rPr>
      </w:pPr>
      <w:r>
        <w:rPr>
          <w:rFonts w:hint="eastAsia" w:ascii="方正小标宋简体" w:hAnsi="宋体" w:eastAsia="方正小标宋简体"/>
          <w:sz w:val="44"/>
          <w:szCs w:val="44"/>
        </w:rPr>
        <w:t>2023年度</w:t>
      </w:r>
      <w:bookmarkStart w:id="1" w:name="_Toc15377426"/>
      <w:bookmarkStart w:id="2" w:name="_Toc15377194"/>
      <w:bookmarkStart w:id="3" w:name="_Toc15378442"/>
      <w:bookmarkStart w:id="4" w:name="_Toc15396598"/>
      <w:bookmarkStart w:id="5" w:name="_Toc15396476"/>
      <w:r>
        <w:rPr>
          <w:rFonts w:hint="eastAsia" w:ascii="方正小标宋简体" w:hAnsi="宋体" w:eastAsia="方正小标宋简体"/>
          <w:sz w:val="44"/>
          <w:szCs w:val="44"/>
        </w:rPr>
        <w:t>广元市</w:t>
      </w:r>
      <w:bookmarkStart w:id="6" w:name="_Toc15306268"/>
    </w:p>
    <w:p w14:paraId="46635A20">
      <w:pPr>
        <w:pStyle w:val="5"/>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rPr>
        <w:t>昭化区人民检察院部门决算</w:t>
      </w:r>
      <w:bookmarkEnd w:id="1"/>
      <w:bookmarkEnd w:id="2"/>
      <w:bookmarkEnd w:id="3"/>
      <w:bookmarkEnd w:id="4"/>
      <w:bookmarkEnd w:id="5"/>
      <w:bookmarkEnd w:id="6"/>
      <w:r>
        <w:rPr>
          <w:rFonts w:hint="eastAsia" w:ascii="方正小标宋简体" w:hAnsi="宋体" w:eastAsia="方正小标宋简体"/>
          <w:sz w:val="44"/>
          <w:szCs w:val="44"/>
          <w:lang w:eastAsia="zh-CN"/>
        </w:rPr>
        <w:t>公开</w:t>
      </w:r>
    </w:p>
    <w:p w14:paraId="7974EED2">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sdt>
      <w:sdtPr>
        <w:rPr>
          <w:rFonts w:ascii="宋体" w:hAnsi="宋体" w:eastAsia="宋体" w:cs="Times New Roman"/>
          <w:kern w:val="2"/>
          <w:sz w:val="21"/>
          <w:szCs w:val="24"/>
          <w:lang w:val="en-US" w:eastAsia="zh-CN" w:bidi="ar-SA"/>
        </w:rPr>
        <w:id w:val="147455375"/>
        <w15:color w:val="DBDBDB"/>
        <w:docPartObj>
          <w:docPartGallery w:val="Table of Contents"/>
          <w:docPartUnique/>
        </w:docPartObj>
      </w:sdtPr>
      <w:sdtEndPr>
        <w:rPr>
          <w:rFonts w:ascii="黑体" w:hAnsi="黑体" w:eastAsia="黑体" w:cs="Times New Roman"/>
          <w:kern w:val="2"/>
          <w:sz w:val="21"/>
          <w:szCs w:val="28"/>
          <w:lang w:val="en-US" w:eastAsia="zh-CN" w:bidi="ar-SA"/>
        </w:rPr>
      </w:sdtEndPr>
      <w:sdtContent>
        <w:p w14:paraId="35C72E23">
          <w:pPr>
            <w:pStyle w:val="10"/>
            <w:keepNext w:val="0"/>
            <w:keepLines w:val="0"/>
            <w:pageBreakBefore w:val="0"/>
            <w:kinsoku/>
            <w:wordWrap/>
            <w:overflowPunct/>
            <w:topLinePunct w:val="0"/>
            <w:autoSpaceDE/>
            <w:autoSpaceDN/>
            <w:bidi w:val="0"/>
            <w:adjustRightInd/>
            <w:snapToGrid/>
            <w:textAlignment w:val="auto"/>
            <w:rPr>
              <w:rFonts w:eastAsia="仿宋_GB2312"/>
              <w:sz w:val="24"/>
            </w:rPr>
          </w:pPr>
          <w:bookmarkStart w:id="105" w:name="_GoBack"/>
          <w:bookmarkEnd w:id="105"/>
          <w:r>
            <w:rPr>
              <w:rFonts w:hint="eastAsia" w:eastAsia="仿宋_GB2312"/>
              <w:sz w:val="24"/>
            </w:rPr>
            <w:t>公开时间：2024年10月2日</w:t>
          </w:r>
        </w:p>
        <w:p w14:paraId="1CF555ED">
          <w:pPr>
            <w:pStyle w:val="10"/>
            <w:keepNext w:val="0"/>
            <w:keepLines w:val="0"/>
            <w:pageBreakBefore w:val="0"/>
            <w:tabs>
              <w:tab w:val="right" w:leader="dot" w:pos="8306"/>
              <w:tab w:val="clear" w:pos="8296"/>
            </w:tabs>
            <w:kinsoku/>
            <w:wordWrap/>
            <w:overflowPunct/>
            <w:topLinePunct w:val="0"/>
            <w:autoSpaceDE/>
            <w:autoSpaceDN/>
            <w:bidi w:val="0"/>
            <w:adjustRightInd/>
            <w:snapToGrid/>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TOC \o "1-3" \h \u </w:instrText>
          </w:r>
          <w:r>
            <w:rPr>
              <w:rFonts w:ascii="黑体" w:hAnsi="黑体" w:eastAsia="仿宋_GB2312"/>
              <w:sz w:val="24"/>
              <w:szCs w:val="28"/>
            </w:rPr>
            <w:fldChar w:fldCharType="separate"/>
          </w:r>
          <w:r>
            <w:rPr>
              <w:rFonts w:ascii="黑体" w:hAnsi="黑体" w:eastAsia="仿宋_GB2312"/>
              <w:b/>
              <w:sz w:val="28"/>
              <w:szCs w:val="28"/>
            </w:rPr>
            <w:fldChar w:fldCharType="begin"/>
          </w:r>
          <w:r>
            <w:rPr>
              <w:rFonts w:ascii="黑体" w:hAnsi="黑体" w:eastAsia="仿宋_GB2312"/>
              <w:b/>
              <w:sz w:val="28"/>
              <w:szCs w:val="28"/>
            </w:rPr>
            <w:instrText xml:space="preserve"> HYPERLINK \l _Toc11469 </w:instrText>
          </w:r>
          <w:r>
            <w:rPr>
              <w:rFonts w:ascii="黑体" w:hAnsi="黑体" w:eastAsia="仿宋_GB2312"/>
              <w:b/>
              <w:sz w:val="28"/>
              <w:szCs w:val="28"/>
            </w:rPr>
            <w:fldChar w:fldCharType="separate"/>
          </w:r>
          <w:r>
            <w:rPr>
              <w:rFonts w:hint="eastAsia" w:ascii="方正小标宋_GBK" w:hAnsi="方正小标宋_GBK" w:eastAsia="仿宋_GB2312" w:cs="方正小标宋_GBK"/>
              <w:b/>
              <w:sz w:val="28"/>
            </w:rPr>
            <w:t xml:space="preserve">第一部分 </w:t>
          </w:r>
          <w:r>
            <w:rPr>
              <w:rFonts w:hint="eastAsia" w:ascii="方正小标宋_GBK" w:hAnsi="方正小标宋_GBK" w:eastAsia="仿宋_GB2312" w:cs="方正小标宋_GBK"/>
              <w:b/>
              <w:bCs w:val="0"/>
              <w:sz w:val="28"/>
            </w:rPr>
            <w:t>部门概况</w:t>
          </w:r>
          <w:r>
            <w:rPr>
              <w:rFonts w:eastAsia="仿宋_GB2312"/>
              <w:b/>
              <w:sz w:val="28"/>
            </w:rPr>
            <w:tab/>
          </w:r>
          <w:r>
            <w:rPr>
              <w:rFonts w:eastAsia="仿宋_GB2312"/>
              <w:b/>
              <w:sz w:val="28"/>
            </w:rPr>
            <w:fldChar w:fldCharType="begin"/>
          </w:r>
          <w:r>
            <w:rPr>
              <w:rFonts w:eastAsia="仿宋_GB2312"/>
              <w:b/>
              <w:sz w:val="28"/>
            </w:rPr>
            <w:instrText xml:space="preserve"> PAGEREF _Toc11469 \h </w:instrText>
          </w:r>
          <w:r>
            <w:rPr>
              <w:rFonts w:eastAsia="仿宋_GB2312"/>
              <w:b/>
              <w:sz w:val="28"/>
            </w:rPr>
            <w:fldChar w:fldCharType="separate"/>
          </w:r>
          <w:r>
            <w:rPr>
              <w:rFonts w:eastAsia="仿宋_GB2312"/>
              <w:b/>
              <w:sz w:val="28"/>
            </w:rPr>
            <w:t>- 1 -</w:t>
          </w:r>
          <w:r>
            <w:rPr>
              <w:rFonts w:eastAsia="仿宋_GB2312"/>
              <w:b/>
              <w:sz w:val="28"/>
            </w:rPr>
            <w:fldChar w:fldCharType="end"/>
          </w:r>
          <w:r>
            <w:rPr>
              <w:rFonts w:ascii="黑体" w:hAnsi="黑体" w:eastAsia="仿宋_GB2312"/>
              <w:b/>
              <w:sz w:val="28"/>
              <w:szCs w:val="28"/>
            </w:rPr>
            <w:fldChar w:fldCharType="end"/>
          </w:r>
        </w:p>
        <w:p w14:paraId="616C3927">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_Toc6054 </w:instrText>
          </w:r>
          <w:r>
            <w:rPr>
              <w:rFonts w:ascii="黑体" w:hAnsi="黑体" w:eastAsia="仿宋_GB2312"/>
              <w:sz w:val="24"/>
              <w:szCs w:val="28"/>
            </w:rPr>
            <w:fldChar w:fldCharType="separate"/>
          </w:r>
          <w:r>
            <w:rPr>
              <w:rFonts w:hint="default" w:ascii="黑体" w:hAnsi="黑体" w:eastAsia="仿宋_GB2312"/>
              <w:sz w:val="24"/>
            </w:rPr>
            <w:t xml:space="preserve">一、 </w:t>
          </w:r>
          <w:r>
            <w:rPr>
              <w:rFonts w:hint="eastAsia" w:ascii="黑体" w:hAnsi="黑体" w:eastAsia="仿宋_GB2312"/>
              <w:sz w:val="24"/>
            </w:rPr>
            <w:t>部门职责</w:t>
          </w:r>
          <w:r>
            <w:rPr>
              <w:rFonts w:eastAsia="仿宋_GB2312"/>
              <w:sz w:val="24"/>
            </w:rPr>
            <w:tab/>
          </w:r>
          <w:r>
            <w:rPr>
              <w:rFonts w:eastAsia="仿宋_GB2312"/>
              <w:sz w:val="24"/>
            </w:rPr>
            <w:fldChar w:fldCharType="begin"/>
          </w:r>
          <w:r>
            <w:rPr>
              <w:rFonts w:eastAsia="仿宋_GB2312"/>
              <w:sz w:val="24"/>
            </w:rPr>
            <w:instrText xml:space="preserve"> PAGEREF _Toc6054 \h </w:instrText>
          </w:r>
          <w:r>
            <w:rPr>
              <w:rFonts w:eastAsia="仿宋_GB2312"/>
              <w:sz w:val="24"/>
            </w:rPr>
            <w:fldChar w:fldCharType="separate"/>
          </w:r>
          <w:r>
            <w:rPr>
              <w:rFonts w:eastAsia="仿宋_GB2312"/>
              <w:sz w:val="24"/>
            </w:rPr>
            <w:t>- 1 -</w:t>
          </w:r>
          <w:r>
            <w:rPr>
              <w:rFonts w:eastAsia="仿宋_GB2312"/>
              <w:sz w:val="24"/>
            </w:rPr>
            <w:fldChar w:fldCharType="end"/>
          </w:r>
          <w:r>
            <w:rPr>
              <w:rFonts w:ascii="黑体" w:hAnsi="黑体" w:eastAsia="仿宋_GB2312"/>
              <w:sz w:val="24"/>
              <w:szCs w:val="28"/>
            </w:rPr>
            <w:fldChar w:fldCharType="end"/>
          </w:r>
        </w:p>
        <w:p w14:paraId="309A1247">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_Toc23725 </w:instrText>
          </w:r>
          <w:r>
            <w:rPr>
              <w:rFonts w:ascii="黑体" w:hAnsi="黑体" w:eastAsia="仿宋_GB2312"/>
              <w:sz w:val="24"/>
              <w:szCs w:val="28"/>
            </w:rPr>
            <w:fldChar w:fldCharType="separate"/>
          </w:r>
          <w:r>
            <w:rPr>
              <w:rFonts w:hint="eastAsia" w:ascii="黑体" w:hAnsi="黑体" w:eastAsia="仿宋_GB2312" w:cs="黑体"/>
              <w:bCs w:val="0"/>
              <w:sz w:val="24"/>
            </w:rPr>
            <w:t>二、机构设置</w:t>
          </w:r>
          <w:r>
            <w:rPr>
              <w:rFonts w:eastAsia="仿宋_GB2312"/>
              <w:sz w:val="24"/>
            </w:rPr>
            <w:tab/>
          </w:r>
          <w:r>
            <w:rPr>
              <w:rFonts w:eastAsia="仿宋_GB2312"/>
              <w:sz w:val="24"/>
            </w:rPr>
            <w:fldChar w:fldCharType="begin"/>
          </w:r>
          <w:r>
            <w:rPr>
              <w:rFonts w:eastAsia="仿宋_GB2312"/>
              <w:sz w:val="24"/>
            </w:rPr>
            <w:instrText xml:space="preserve"> PAGEREF _Toc23725 \h </w:instrText>
          </w:r>
          <w:r>
            <w:rPr>
              <w:rFonts w:eastAsia="仿宋_GB2312"/>
              <w:sz w:val="24"/>
            </w:rPr>
            <w:fldChar w:fldCharType="separate"/>
          </w:r>
          <w:r>
            <w:rPr>
              <w:rFonts w:eastAsia="仿宋_GB2312"/>
              <w:sz w:val="24"/>
            </w:rPr>
            <w:t>- 1 -</w:t>
          </w:r>
          <w:r>
            <w:rPr>
              <w:rFonts w:eastAsia="仿宋_GB2312"/>
              <w:sz w:val="24"/>
            </w:rPr>
            <w:fldChar w:fldCharType="end"/>
          </w:r>
          <w:r>
            <w:rPr>
              <w:rFonts w:ascii="黑体" w:hAnsi="黑体" w:eastAsia="仿宋_GB2312"/>
              <w:sz w:val="24"/>
              <w:szCs w:val="28"/>
            </w:rPr>
            <w:fldChar w:fldCharType="end"/>
          </w:r>
        </w:p>
        <w:p w14:paraId="4D38E168">
          <w:pPr>
            <w:pStyle w:val="10"/>
            <w:keepNext w:val="0"/>
            <w:keepLines w:val="0"/>
            <w:pageBreakBefore w:val="0"/>
            <w:tabs>
              <w:tab w:val="right" w:leader="dot" w:pos="8306"/>
              <w:tab w:val="clear" w:pos="8296"/>
            </w:tabs>
            <w:kinsoku/>
            <w:wordWrap/>
            <w:overflowPunct/>
            <w:topLinePunct w:val="0"/>
            <w:autoSpaceDE/>
            <w:autoSpaceDN/>
            <w:bidi w:val="0"/>
            <w:adjustRightInd/>
            <w:snapToGrid/>
            <w:textAlignment w:val="auto"/>
            <w:rPr>
              <w:rFonts w:eastAsia="仿宋_GB2312"/>
              <w:sz w:val="24"/>
            </w:rPr>
          </w:pPr>
          <w:r>
            <w:rPr>
              <w:rFonts w:ascii="黑体" w:hAnsi="黑体" w:eastAsia="仿宋_GB2312"/>
              <w:b/>
              <w:sz w:val="28"/>
              <w:szCs w:val="28"/>
            </w:rPr>
            <w:fldChar w:fldCharType="begin"/>
          </w:r>
          <w:r>
            <w:rPr>
              <w:rFonts w:ascii="黑体" w:hAnsi="黑体" w:eastAsia="仿宋_GB2312"/>
              <w:b/>
              <w:sz w:val="28"/>
              <w:szCs w:val="28"/>
            </w:rPr>
            <w:instrText xml:space="preserve"> HYPERLINK \l _Toc27668 </w:instrText>
          </w:r>
          <w:r>
            <w:rPr>
              <w:rFonts w:ascii="黑体" w:hAnsi="黑体" w:eastAsia="仿宋_GB2312"/>
              <w:b/>
              <w:sz w:val="28"/>
              <w:szCs w:val="28"/>
            </w:rPr>
            <w:fldChar w:fldCharType="separate"/>
          </w:r>
          <w:r>
            <w:rPr>
              <w:rFonts w:hint="eastAsia" w:ascii="方正小标宋_GBK" w:hAnsi="方正小标宋_GBK" w:eastAsia="仿宋_GB2312" w:cs="方正小标宋_GBK"/>
              <w:b/>
              <w:sz w:val="28"/>
            </w:rPr>
            <w:t>第二部分 2023年度</w:t>
          </w:r>
          <w:r>
            <w:rPr>
              <w:rFonts w:hint="eastAsia" w:ascii="方正小标宋_GBK" w:hAnsi="方正小标宋_GBK" w:eastAsia="仿宋_GB2312" w:cs="方正小标宋_GBK"/>
              <w:b/>
              <w:bCs w:val="0"/>
              <w:sz w:val="28"/>
            </w:rPr>
            <w:t>部门决算情况说明</w:t>
          </w:r>
          <w:r>
            <w:rPr>
              <w:rFonts w:eastAsia="仿宋_GB2312"/>
              <w:b/>
              <w:sz w:val="28"/>
            </w:rPr>
            <w:tab/>
          </w:r>
          <w:r>
            <w:rPr>
              <w:rFonts w:eastAsia="仿宋_GB2312"/>
              <w:b/>
              <w:sz w:val="28"/>
            </w:rPr>
            <w:fldChar w:fldCharType="begin"/>
          </w:r>
          <w:r>
            <w:rPr>
              <w:rFonts w:eastAsia="仿宋_GB2312"/>
              <w:b/>
              <w:sz w:val="28"/>
            </w:rPr>
            <w:instrText xml:space="preserve"> PAGEREF _Toc27668 \h </w:instrText>
          </w:r>
          <w:r>
            <w:rPr>
              <w:rFonts w:eastAsia="仿宋_GB2312"/>
              <w:b/>
              <w:sz w:val="28"/>
            </w:rPr>
            <w:fldChar w:fldCharType="separate"/>
          </w:r>
          <w:r>
            <w:rPr>
              <w:rFonts w:eastAsia="仿宋_GB2312"/>
              <w:b/>
              <w:sz w:val="28"/>
            </w:rPr>
            <w:t>- 2 -</w:t>
          </w:r>
          <w:r>
            <w:rPr>
              <w:rFonts w:eastAsia="仿宋_GB2312"/>
              <w:b/>
              <w:sz w:val="28"/>
            </w:rPr>
            <w:fldChar w:fldCharType="end"/>
          </w:r>
          <w:r>
            <w:rPr>
              <w:rFonts w:ascii="黑体" w:hAnsi="黑体" w:eastAsia="仿宋_GB2312"/>
              <w:b/>
              <w:sz w:val="28"/>
              <w:szCs w:val="28"/>
            </w:rPr>
            <w:fldChar w:fldCharType="end"/>
          </w:r>
        </w:p>
        <w:p w14:paraId="4FC128EE">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_Toc5345 </w:instrText>
          </w:r>
          <w:r>
            <w:rPr>
              <w:rFonts w:ascii="黑体" w:hAnsi="黑体" w:eastAsia="仿宋_GB2312"/>
              <w:sz w:val="24"/>
              <w:szCs w:val="28"/>
            </w:rPr>
            <w:fldChar w:fldCharType="separate"/>
          </w:r>
          <w:r>
            <w:rPr>
              <w:rFonts w:hint="eastAsia" w:ascii="黑体" w:hAnsi="黑体" w:eastAsia="仿宋_GB2312"/>
              <w:sz w:val="24"/>
              <w:szCs w:val="32"/>
              <w:lang w:eastAsia="zh-CN"/>
            </w:rPr>
            <w:t>一、</w:t>
          </w:r>
          <w:r>
            <w:rPr>
              <w:rFonts w:hint="eastAsia" w:ascii="黑体" w:hAnsi="黑体" w:eastAsia="仿宋_GB2312"/>
              <w:sz w:val="24"/>
              <w:szCs w:val="32"/>
            </w:rPr>
            <w:t>收</w:t>
          </w:r>
          <w:r>
            <w:rPr>
              <w:rFonts w:hint="eastAsia" w:ascii="黑体" w:hAnsi="黑体" w:eastAsia="仿宋_GB2312"/>
              <w:sz w:val="24"/>
            </w:rPr>
            <w:t>入支出决算总体情况说明</w:t>
          </w:r>
          <w:r>
            <w:rPr>
              <w:rFonts w:eastAsia="仿宋_GB2312"/>
              <w:sz w:val="24"/>
            </w:rPr>
            <w:tab/>
          </w:r>
          <w:r>
            <w:rPr>
              <w:rFonts w:eastAsia="仿宋_GB2312"/>
              <w:sz w:val="24"/>
            </w:rPr>
            <w:fldChar w:fldCharType="begin"/>
          </w:r>
          <w:r>
            <w:rPr>
              <w:rFonts w:eastAsia="仿宋_GB2312"/>
              <w:sz w:val="24"/>
            </w:rPr>
            <w:instrText xml:space="preserve"> PAGEREF _Toc5345 \h </w:instrText>
          </w:r>
          <w:r>
            <w:rPr>
              <w:rFonts w:eastAsia="仿宋_GB2312"/>
              <w:sz w:val="24"/>
            </w:rPr>
            <w:fldChar w:fldCharType="separate"/>
          </w:r>
          <w:r>
            <w:rPr>
              <w:rFonts w:eastAsia="仿宋_GB2312"/>
              <w:sz w:val="24"/>
            </w:rPr>
            <w:t>- 2 -</w:t>
          </w:r>
          <w:r>
            <w:rPr>
              <w:rFonts w:eastAsia="仿宋_GB2312"/>
              <w:sz w:val="24"/>
            </w:rPr>
            <w:fldChar w:fldCharType="end"/>
          </w:r>
          <w:r>
            <w:rPr>
              <w:rFonts w:ascii="黑体" w:hAnsi="黑体" w:eastAsia="仿宋_GB2312"/>
              <w:sz w:val="24"/>
              <w:szCs w:val="28"/>
            </w:rPr>
            <w:fldChar w:fldCharType="end"/>
          </w:r>
        </w:p>
        <w:p w14:paraId="33BD5CFD">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_Toc32290 </w:instrText>
          </w:r>
          <w:r>
            <w:rPr>
              <w:rFonts w:ascii="黑体" w:hAnsi="黑体" w:eastAsia="仿宋_GB2312"/>
              <w:sz w:val="24"/>
              <w:szCs w:val="28"/>
            </w:rPr>
            <w:fldChar w:fldCharType="separate"/>
          </w:r>
          <w:r>
            <w:rPr>
              <w:rFonts w:hint="eastAsia" w:ascii="黑体" w:hAnsi="黑体" w:eastAsia="仿宋_GB2312"/>
              <w:sz w:val="24"/>
              <w:szCs w:val="32"/>
              <w:lang w:eastAsia="zh-CN"/>
            </w:rPr>
            <w:t>二、</w:t>
          </w:r>
          <w:r>
            <w:rPr>
              <w:rFonts w:hint="eastAsia" w:ascii="黑体" w:hAnsi="黑体" w:eastAsia="仿宋_GB2312"/>
              <w:sz w:val="24"/>
              <w:szCs w:val="32"/>
            </w:rPr>
            <w:t>收</w:t>
          </w:r>
          <w:r>
            <w:rPr>
              <w:rFonts w:hint="eastAsia" w:ascii="黑体" w:hAnsi="黑体" w:eastAsia="仿宋_GB2312"/>
              <w:sz w:val="24"/>
            </w:rPr>
            <w:t>入决算情况说明</w:t>
          </w:r>
          <w:r>
            <w:rPr>
              <w:rFonts w:eastAsia="仿宋_GB2312"/>
              <w:sz w:val="24"/>
            </w:rPr>
            <w:tab/>
          </w:r>
          <w:r>
            <w:rPr>
              <w:rFonts w:eastAsia="仿宋_GB2312"/>
              <w:sz w:val="24"/>
            </w:rPr>
            <w:fldChar w:fldCharType="begin"/>
          </w:r>
          <w:r>
            <w:rPr>
              <w:rFonts w:eastAsia="仿宋_GB2312"/>
              <w:sz w:val="24"/>
            </w:rPr>
            <w:instrText xml:space="preserve"> PAGEREF _Toc32290 \h </w:instrText>
          </w:r>
          <w:r>
            <w:rPr>
              <w:rFonts w:eastAsia="仿宋_GB2312"/>
              <w:sz w:val="24"/>
            </w:rPr>
            <w:fldChar w:fldCharType="separate"/>
          </w:r>
          <w:r>
            <w:rPr>
              <w:rFonts w:eastAsia="仿宋_GB2312"/>
              <w:sz w:val="24"/>
            </w:rPr>
            <w:t>- 2 -</w:t>
          </w:r>
          <w:r>
            <w:rPr>
              <w:rFonts w:eastAsia="仿宋_GB2312"/>
              <w:sz w:val="24"/>
            </w:rPr>
            <w:fldChar w:fldCharType="end"/>
          </w:r>
          <w:r>
            <w:rPr>
              <w:rFonts w:ascii="黑体" w:hAnsi="黑体" w:eastAsia="仿宋_GB2312"/>
              <w:sz w:val="24"/>
              <w:szCs w:val="28"/>
            </w:rPr>
            <w:fldChar w:fldCharType="end"/>
          </w:r>
        </w:p>
        <w:p w14:paraId="2864DCF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left="0" w:leftChars="0" w:firstLine="480" w:firstLineChars="200"/>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_Toc31580 </w:instrText>
          </w:r>
          <w:r>
            <w:rPr>
              <w:rFonts w:ascii="黑体" w:hAnsi="黑体" w:eastAsia="仿宋_GB2312"/>
              <w:sz w:val="24"/>
              <w:szCs w:val="28"/>
            </w:rPr>
            <w:fldChar w:fldCharType="separate"/>
          </w:r>
          <w:r>
            <w:rPr>
              <w:rFonts w:hint="eastAsia" w:ascii="黑体" w:hAnsi="黑体" w:eastAsia="仿宋_GB2312"/>
              <w:sz w:val="24"/>
              <w:szCs w:val="32"/>
            </w:rPr>
            <w:t>三、支</w:t>
          </w:r>
          <w:r>
            <w:rPr>
              <w:rFonts w:hint="eastAsia" w:ascii="仿宋_GB2312" w:hAnsi="仿宋_GB2312" w:eastAsia="仿宋_GB2312" w:cs="仿宋_GB2312"/>
              <w:sz w:val="24"/>
              <w:szCs w:val="32"/>
            </w:rPr>
            <w:t>出决算情况说明</w:t>
          </w:r>
          <w:r>
            <w:rPr>
              <w:rFonts w:eastAsia="仿宋_GB2312"/>
              <w:sz w:val="24"/>
            </w:rPr>
            <w:tab/>
          </w:r>
          <w:r>
            <w:rPr>
              <w:rFonts w:eastAsia="仿宋_GB2312"/>
              <w:sz w:val="24"/>
            </w:rPr>
            <w:fldChar w:fldCharType="begin"/>
          </w:r>
          <w:r>
            <w:rPr>
              <w:rFonts w:eastAsia="仿宋_GB2312"/>
              <w:sz w:val="24"/>
            </w:rPr>
            <w:instrText xml:space="preserve"> PAGEREF _Toc31580 \h </w:instrText>
          </w:r>
          <w:r>
            <w:rPr>
              <w:rFonts w:eastAsia="仿宋_GB2312"/>
              <w:sz w:val="24"/>
            </w:rPr>
            <w:fldChar w:fldCharType="separate"/>
          </w:r>
          <w:r>
            <w:rPr>
              <w:rFonts w:eastAsia="仿宋_GB2312"/>
              <w:sz w:val="24"/>
            </w:rPr>
            <w:t>- 3 -</w:t>
          </w:r>
          <w:r>
            <w:rPr>
              <w:rFonts w:eastAsia="仿宋_GB2312"/>
              <w:sz w:val="24"/>
            </w:rPr>
            <w:fldChar w:fldCharType="end"/>
          </w:r>
          <w:r>
            <w:rPr>
              <w:rFonts w:ascii="黑体" w:hAnsi="黑体" w:eastAsia="仿宋_GB2312"/>
              <w:sz w:val="24"/>
              <w:szCs w:val="28"/>
            </w:rPr>
            <w:fldChar w:fldCharType="end"/>
          </w:r>
        </w:p>
        <w:p w14:paraId="774C2A63">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_Toc28260 </w:instrText>
          </w:r>
          <w:r>
            <w:rPr>
              <w:rFonts w:ascii="黑体" w:hAnsi="黑体" w:eastAsia="仿宋_GB2312"/>
              <w:sz w:val="24"/>
              <w:szCs w:val="28"/>
            </w:rPr>
            <w:fldChar w:fldCharType="separate"/>
          </w:r>
          <w:r>
            <w:rPr>
              <w:rFonts w:hint="eastAsia" w:ascii="黑体" w:hAnsi="黑体" w:eastAsia="仿宋_GB2312"/>
              <w:sz w:val="24"/>
              <w:szCs w:val="32"/>
            </w:rPr>
            <w:t>四、财</w:t>
          </w:r>
          <w:r>
            <w:rPr>
              <w:rFonts w:hint="eastAsia" w:ascii="黑体" w:hAnsi="黑体" w:eastAsia="仿宋_GB2312"/>
              <w:sz w:val="24"/>
            </w:rPr>
            <w:t>政拨款收入支出决算总体情况说明</w:t>
          </w:r>
          <w:r>
            <w:rPr>
              <w:rFonts w:eastAsia="仿宋_GB2312"/>
              <w:sz w:val="24"/>
            </w:rPr>
            <w:tab/>
          </w:r>
          <w:r>
            <w:rPr>
              <w:rFonts w:eastAsia="仿宋_GB2312"/>
              <w:sz w:val="24"/>
            </w:rPr>
            <w:fldChar w:fldCharType="begin"/>
          </w:r>
          <w:r>
            <w:rPr>
              <w:rFonts w:eastAsia="仿宋_GB2312"/>
              <w:sz w:val="24"/>
            </w:rPr>
            <w:instrText xml:space="preserve"> PAGEREF _Toc28260 \h </w:instrText>
          </w:r>
          <w:r>
            <w:rPr>
              <w:rFonts w:eastAsia="仿宋_GB2312"/>
              <w:sz w:val="24"/>
            </w:rPr>
            <w:fldChar w:fldCharType="separate"/>
          </w:r>
          <w:r>
            <w:rPr>
              <w:rFonts w:eastAsia="仿宋_GB2312"/>
              <w:sz w:val="24"/>
            </w:rPr>
            <w:t>- 4 -</w:t>
          </w:r>
          <w:r>
            <w:rPr>
              <w:rFonts w:eastAsia="仿宋_GB2312"/>
              <w:sz w:val="24"/>
            </w:rPr>
            <w:fldChar w:fldCharType="end"/>
          </w:r>
          <w:r>
            <w:rPr>
              <w:rFonts w:ascii="黑体" w:hAnsi="黑体" w:eastAsia="仿宋_GB2312"/>
              <w:sz w:val="24"/>
              <w:szCs w:val="28"/>
            </w:rPr>
            <w:fldChar w:fldCharType="end"/>
          </w:r>
        </w:p>
        <w:p w14:paraId="00CB3D87">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_Toc21675 </w:instrText>
          </w:r>
          <w:r>
            <w:rPr>
              <w:rFonts w:ascii="黑体" w:hAnsi="黑体" w:eastAsia="仿宋_GB2312"/>
              <w:sz w:val="24"/>
              <w:szCs w:val="28"/>
            </w:rPr>
            <w:fldChar w:fldCharType="separate"/>
          </w:r>
          <w:r>
            <w:rPr>
              <w:rFonts w:hint="eastAsia" w:ascii="黑体" w:hAnsi="黑体" w:eastAsia="仿宋_GB2312"/>
              <w:sz w:val="24"/>
              <w:szCs w:val="32"/>
            </w:rPr>
            <w:t>五、一</w:t>
          </w:r>
          <w:r>
            <w:rPr>
              <w:rFonts w:hint="eastAsia" w:ascii="黑体" w:hAnsi="黑体" w:eastAsia="仿宋_GB2312"/>
              <w:sz w:val="24"/>
            </w:rPr>
            <w:t>般公共预算财政拨款支出决算情况说明</w:t>
          </w:r>
          <w:r>
            <w:rPr>
              <w:rFonts w:eastAsia="仿宋_GB2312"/>
              <w:sz w:val="24"/>
            </w:rPr>
            <w:tab/>
          </w:r>
          <w:r>
            <w:rPr>
              <w:rFonts w:eastAsia="仿宋_GB2312"/>
              <w:sz w:val="24"/>
            </w:rPr>
            <w:fldChar w:fldCharType="begin"/>
          </w:r>
          <w:r>
            <w:rPr>
              <w:rFonts w:eastAsia="仿宋_GB2312"/>
              <w:sz w:val="24"/>
            </w:rPr>
            <w:instrText xml:space="preserve"> PAGEREF _Toc21675 \h </w:instrText>
          </w:r>
          <w:r>
            <w:rPr>
              <w:rFonts w:eastAsia="仿宋_GB2312"/>
              <w:sz w:val="24"/>
            </w:rPr>
            <w:fldChar w:fldCharType="separate"/>
          </w:r>
          <w:r>
            <w:rPr>
              <w:rFonts w:eastAsia="仿宋_GB2312"/>
              <w:sz w:val="24"/>
            </w:rPr>
            <w:t>- 4 -</w:t>
          </w:r>
          <w:r>
            <w:rPr>
              <w:rFonts w:eastAsia="仿宋_GB2312"/>
              <w:sz w:val="24"/>
            </w:rPr>
            <w:fldChar w:fldCharType="end"/>
          </w:r>
          <w:r>
            <w:rPr>
              <w:rFonts w:ascii="黑体" w:hAnsi="黑体" w:eastAsia="仿宋_GB2312"/>
              <w:sz w:val="24"/>
              <w:szCs w:val="28"/>
            </w:rPr>
            <w:fldChar w:fldCharType="end"/>
          </w:r>
        </w:p>
        <w:p w14:paraId="4DC3BDED">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_Toc7055 </w:instrText>
          </w:r>
          <w:r>
            <w:rPr>
              <w:rFonts w:ascii="黑体" w:hAnsi="黑体" w:eastAsia="仿宋_GB2312"/>
              <w:sz w:val="24"/>
              <w:szCs w:val="28"/>
            </w:rPr>
            <w:fldChar w:fldCharType="separate"/>
          </w:r>
          <w:r>
            <w:rPr>
              <w:rFonts w:hint="eastAsia" w:ascii="黑体" w:eastAsia="仿宋_GB2312"/>
              <w:sz w:val="24"/>
              <w:szCs w:val="32"/>
            </w:rPr>
            <w:t>六、</w:t>
          </w:r>
          <w:r>
            <w:rPr>
              <w:rFonts w:hint="eastAsia" w:ascii="黑体" w:hAnsi="黑体" w:eastAsia="仿宋_GB2312"/>
              <w:sz w:val="24"/>
              <w:szCs w:val="32"/>
            </w:rPr>
            <w:t>一</w:t>
          </w:r>
          <w:r>
            <w:rPr>
              <w:rFonts w:hint="eastAsia" w:ascii="黑体" w:hAnsi="黑体" w:eastAsia="仿宋_GB2312"/>
              <w:sz w:val="24"/>
            </w:rPr>
            <w:t>般公共预算财政拨款基本支出决算情况说明</w:t>
          </w:r>
          <w:r>
            <w:rPr>
              <w:rFonts w:eastAsia="仿宋_GB2312"/>
              <w:sz w:val="24"/>
            </w:rPr>
            <w:tab/>
          </w:r>
          <w:r>
            <w:rPr>
              <w:rFonts w:eastAsia="仿宋_GB2312"/>
              <w:sz w:val="24"/>
            </w:rPr>
            <w:fldChar w:fldCharType="begin"/>
          </w:r>
          <w:r>
            <w:rPr>
              <w:rFonts w:eastAsia="仿宋_GB2312"/>
              <w:sz w:val="24"/>
            </w:rPr>
            <w:instrText xml:space="preserve"> PAGEREF _Toc7055 \h </w:instrText>
          </w:r>
          <w:r>
            <w:rPr>
              <w:rFonts w:eastAsia="仿宋_GB2312"/>
              <w:sz w:val="24"/>
            </w:rPr>
            <w:fldChar w:fldCharType="separate"/>
          </w:r>
          <w:r>
            <w:rPr>
              <w:rFonts w:eastAsia="仿宋_GB2312"/>
              <w:sz w:val="24"/>
            </w:rPr>
            <w:t>- 7 -</w:t>
          </w:r>
          <w:r>
            <w:rPr>
              <w:rFonts w:eastAsia="仿宋_GB2312"/>
              <w:sz w:val="24"/>
            </w:rPr>
            <w:fldChar w:fldCharType="end"/>
          </w:r>
          <w:r>
            <w:rPr>
              <w:rFonts w:ascii="黑体" w:hAnsi="黑体" w:eastAsia="仿宋_GB2312"/>
              <w:sz w:val="24"/>
              <w:szCs w:val="28"/>
            </w:rPr>
            <w:fldChar w:fldCharType="end"/>
          </w:r>
        </w:p>
        <w:p w14:paraId="0A25217E">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_Toc27324 </w:instrText>
          </w:r>
          <w:r>
            <w:rPr>
              <w:rFonts w:ascii="黑体" w:hAnsi="黑体" w:eastAsia="仿宋_GB2312"/>
              <w:sz w:val="24"/>
              <w:szCs w:val="28"/>
            </w:rPr>
            <w:fldChar w:fldCharType="separate"/>
          </w:r>
          <w:r>
            <w:rPr>
              <w:rFonts w:hint="eastAsia" w:ascii="黑体" w:eastAsia="仿宋_GB2312"/>
              <w:sz w:val="24"/>
              <w:szCs w:val="32"/>
            </w:rPr>
            <w:t>七、</w:t>
          </w:r>
          <w:r>
            <w:rPr>
              <w:rFonts w:hint="eastAsia" w:ascii="黑体" w:hAnsi="黑体" w:eastAsia="仿宋_GB2312"/>
              <w:sz w:val="24"/>
            </w:rPr>
            <w:t>财政拨款“三公”经费支出决算情况说明</w:t>
          </w:r>
          <w:r>
            <w:rPr>
              <w:rFonts w:eastAsia="仿宋_GB2312"/>
              <w:sz w:val="24"/>
            </w:rPr>
            <w:tab/>
          </w:r>
          <w:r>
            <w:rPr>
              <w:rFonts w:eastAsia="仿宋_GB2312"/>
              <w:sz w:val="24"/>
            </w:rPr>
            <w:fldChar w:fldCharType="begin"/>
          </w:r>
          <w:r>
            <w:rPr>
              <w:rFonts w:eastAsia="仿宋_GB2312"/>
              <w:sz w:val="24"/>
            </w:rPr>
            <w:instrText xml:space="preserve"> PAGEREF _Toc27324 \h </w:instrText>
          </w:r>
          <w:r>
            <w:rPr>
              <w:rFonts w:eastAsia="仿宋_GB2312"/>
              <w:sz w:val="24"/>
            </w:rPr>
            <w:fldChar w:fldCharType="separate"/>
          </w:r>
          <w:r>
            <w:rPr>
              <w:rFonts w:eastAsia="仿宋_GB2312"/>
              <w:sz w:val="24"/>
            </w:rPr>
            <w:t>- 7 -</w:t>
          </w:r>
          <w:r>
            <w:rPr>
              <w:rFonts w:eastAsia="仿宋_GB2312"/>
              <w:sz w:val="24"/>
            </w:rPr>
            <w:fldChar w:fldCharType="end"/>
          </w:r>
          <w:r>
            <w:rPr>
              <w:rFonts w:ascii="黑体" w:hAnsi="黑体" w:eastAsia="仿宋_GB2312"/>
              <w:sz w:val="24"/>
              <w:szCs w:val="28"/>
            </w:rPr>
            <w:fldChar w:fldCharType="end"/>
          </w:r>
        </w:p>
        <w:p w14:paraId="4885DA19">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_Toc27661 </w:instrText>
          </w:r>
          <w:r>
            <w:rPr>
              <w:rFonts w:ascii="黑体" w:hAnsi="黑体" w:eastAsia="仿宋_GB2312"/>
              <w:sz w:val="24"/>
              <w:szCs w:val="28"/>
            </w:rPr>
            <w:fldChar w:fldCharType="separate"/>
          </w:r>
          <w:r>
            <w:rPr>
              <w:rFonts w:hint="eastAsia" w:ascii="黑体" w:eastAsia="仿宋_GB2312"/>
              <w:sz w:val="24"/>
              <w:szCs w:val="32"/>
            </w:rPr>
            <w:t>八、</w:t>
          </w:r>
          <w:r>
            <w:rPr>
              <w:rFonts w:hint="eastAsia" w:ascii="黑体" w:hAnsi="黑体" w:eastAsia="仿宋_GB2312"/>
              <w:sz w:val="24"/>
            </w:rPr>
            <w:t>政府性基金预算支出决算情况说明</w:t>
          </w:r>
          <w:r>
            <w:rPr>
              <w:rFonts w:eastAsia="仿宋_GB2312"/>
              <w:sz w:val="24"/>
            </w:rPr>
            <w:tab/>
          </w:r>
          <w:r>
            <w:rPr>
              <w:rFonts w:eastAsia="仿宋_GB2312"/>
              <w:sz w:val="24"/>
            </w:rPr>
            <w:fldChar w:fldCharType="begin"/>
          </w:r>
          <w:r>
            <w:rPr>
              <w:rFonts w:eastAsia="仿宋_GB2312"/>
              <w:sz w:val="24"/>
            </w:rPr>
            <w:instrText xml:space="preserve"> PAGEREF _Toc27661 \h </w:instrText>
          </w:r>
          <w:r>
            <w:rPr>
              <w:rFonts w:eastAsia="仿宋_GB2312"/>
              <w:sz w:val="24"/>
            </w:rPr>
            <w:fldChar w:fldCharType="separate"/>
          </w:r>
          <w:r>
            <w:rPr>
              <w:rFonts w:eastAsia="仿宋_GB2312"/>
              <w:sz w:val="24"/>
            </w:rPr>
            <w:t>- 9 -</w:t>
          </w:r>
          <w:r>
            <w:rPr>
              <w:rFonts w:eastAsia="仿宋_GB2312"/>
              <w:sz w:val="24"/>
            </w:rPr>
            <w:fldChar w:fldCharType="end"/>
          </w:r>
          <w:r>
            <w:rPr>
              <w:rFonts w:ascii="黑体" w:hAnsi="黑体" w:eastAsia="仿宋_GB2312"/>
              <w:sz w:val="24"/>
              <w:szCs w:val="28"/>
            </w:rPr>
            <w:fldChar w:fldCharType="end"/>
          </w:r>
        </w:p>
        <w:p w14:paraId="77135DD4">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_Toc22573 </w:instrText>
          </w:r>
          <w:r>
            <w:rPr>
              <w:rFonts w:ascii="黑体" w:hAnsi="黑体" w:eastAsia="仿宋_GB2312"/>
              <w:sz w:val="24"/>
              <w:szCs w:val="28"/>
            </w:rPr>
            <w:fldChar w:fldCharType="separate"/>
          </w:r>
          <w:r>
            <w:rPr>
              <w:rFonts w:hint="eastAsia" w:ascii="黑体" w:hAnsi="黑体" w:eastAsia="仿宋_GB2312"/>
              <w:sz w:val="24"/>
            </w:rPr>
            <w:t>九、 国有资本经营预算支出决算情况说明</w:t>
          </w:r>
          <w:r>
            <w:rPr>
              <w:rFonts w:eastAsia="仿宋_GB2312"/>
              <w:sz w:val="24"/>
            </w:rPr>
            <w:tab/>
          </w:r>
          <w:r>
            <w:rPr>
              <w:rFonts w:eastAsia="仿宋_GB2312"/>
              <w:sz w:val="24"/>
            </w:rPr>
            <w:fldChar w:fldCharType="begin"/>
          </w:r>
          <w:r>
            <w:rPr>
              <w:rFonts w:eastAsia="仿宋_GB2312"/>
              <w:sz w:val="24"/>
            </w:rPr>
            <w:instrText xml:space="preserve"> PAGEREF _Toc22573 \h </w:instrText>
          </w:r>
          <w:r>
            <w:rPr>
              <w:rFonts w:eastAsia="仿宋_GB2312"/>
              <w:sz w:val="24"/>
            </w:rPr>
            <w:fldChar w:fldCharType="separate"/>
          </w:r>
          <w:r>
            <w:rPr>
              <w:rFonts w:eastAsia="仿宋_GB2312"/>
              <w:sz w:val="24"/>
            </w:rPr>
            <w:t>- 9 -</w:t>
          </w:r>
          <w:r>
            <w:rPr>
              <w:rFonts w:eastAsia="仿宋_GB2312"/>
              <w:sz w:val="24"/>
            </w:rPr>
            <w:fldChar w:fldCharType="end"/>
          </w:r>
          <w:r>
            <w:rPr>
              <w:rFonts w:ascii="黑体" w:hAnsi="黑体" w:eastAsia="仿宋_GB2312"/>
              <w:sz w:val="24"/>
              <w:szCs w:val="28"/>
            </w:rPr>
            <w:fldChar w:fldCharType="end"/>
          </w:r>
        </w:p>
        <w:p w14:paraId="1FDA4A85">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_Toc31114 </w:instrText>
          </w:r>
          <w:r>
            <w:rPr>
              <w:rFonts w:ascii="黑体" w:hAnsi="黑体" w:eastAsia="仿宋_GB2312"/>
              <w:sz w:val="24"/>
              <w:szCs w:val="28"/>
            </w:rPr>
            <w:fldChar w:fldCharType="separate"/>
          </w:r>
          <w:r>
            <w:rPr>
              <w:rFonts w:hint="eastAsia" w:ascii="黑体" w:hAnsi="黑体" w:eastAsia="仿宋_GB2312"/>
              <w:sz w:val="24"/>
            </w:rPr>
            <w:t>十、 其他重要事项的情况说明</w:t>
          </w:r>
          <w:r>
            <w:rPr>
              <w:rFonts w:eastAsia="仿宋_GB2312"/>
              <w:sz w:val="24"/>
            </w:rPr>
            <w:tab/>
          </w:r>
          <w:r>
            <w:rPr>
              <w:rFonts w:eastAsia="仿宋_GB2312"/>
              <w:sz w:val="24"/>
            </w:rPr>
            <w:fldChar w:fldCharType="begin"/>
          </w:r>
          <w:r>
            <w:rPr>
              <w:rFonts w:eastAsia="仿宋_GB2312"/>
              <w:sz w:val="24"/>
            </w:rPr>
            <w:instrText xml:space="preserve"> PAGEREF _Toc31114 \h </w:instrText>
          </w:r>
          <w:r>
            <w:rPr>
              <w:rFonts w:eastAsia="仿宋_GB2312"/>
              <w:sz w:val="24"/>
            </w:rPr>
            <w:fldChar w:fldCharType="separate"/>
          </w:r>
          <w:r>
            <w:rPr>
              <w:rFonts w:eastAsia="仿宋_GB2312"/>
              <w:sz w:val="24"/>
            </w:rPr>
            <w:t>- 9 -</w:t>
          </w:r>
          <w:r>
            <w:rPr>
              <w:rFonts w:eastAsia="仿宋_GB2312"/>
              <w:sz w:val="24"/>
            </w:rPr>
            <w:fldChar w:fldCharType="end"/>
          </w:r>
          <w:r>
            <w:rPr>
              <w:rFonts w:ascii="黑体" w:hAnsi="黑体" w:eastAsia="仿宋_GB2312"/>
              <w:sz w:val="24"/>
              <w:szCs w:val="28"/>
            </w:rPr>
            <w:fldChar w:fldCharType="end"/>
          </w:r>
        </w:p>
        <w:p w14:paraId="2F3B160B">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240" w:lineRule="atLeast"/>
            <w:textAlignment w:val="auto"/>
            <w:rPr>
              <w:rFonts w:eastAsia="仿宋_GB2312"/>
              <w:b/>
              <w:sz w:val="28"/>
            </w:rPr>
          </w:pPr>
          <w:r>
            <w:rPr>
              <w:rFonts w:ascii="黑体" w:hAnsi="黑体" w:eastAsia="仿宋_GB2312"/>
              <w:b/>
              <w:sz w:val="28"/>
              <w:szCs w:val="28"/>
            </w:rPr>
            <w:fldChar w:fldCharType="begin"/>
          </w:r>
          <w:r>
            <w:rPr>
              <w:rFonts w:ascii="黑体" w:hAnsi="黑体" w:eastAsia="仿宋_GB2312"/>
              <w:b/>
              <w:sz w:val="28"/>
              <w:szCs w:val="28"/>
            </w:rPr>
            <w:instrText xml:space="preserve"> HYPERLINK \l _Toc31960 </w:instrText>
          </w:r>
          <w:r>
            <w:rPr>
              <w:rFonts w:ascii="黑体" w:hAnsi="黑体" w:eastAsia="仿宋_GB2312"/>
              <w:b/>
              <w:sz w:val="28"/>
              <w:szCs w:val="28"/>
            </w:rPr>
            <w:fldChar w:fldCharType="separate"/>
          </w:r>
          <w:r>
            <w:rPr>
              <w:rFonts w:hint="eastAsia" w:ascii="黑体" w:hAnsi="黑体" w:eastAsia="仿宋_GB2312"/>
              <w:b/>
              <w:sz w:val="28"/>
            </w:rPr>
            <w:t xml:space="preserve">第三部分 </w:t>
          </w:r>
          <w:r>
            <w:rPr>
              <w:rFonts w:hint="eastAsia" w:ascii="黑体" w:hAnsi="黑体" w:eastAsia="仿宋_GB2312"/>
              <w:b/>
              <w:sz w:val="28"/>
              <w:szCs w:val="44"/>
            </w:rPr>
            <w:t>名</w:t>
          </w:r>
          <w:r>
            <w:rPr>
              <w:rFonts w:hint="eastAsia" w:ascii="黑体" w:hAnsi="黑体" w:eastAsia="仿宋_GB2312"/>
              <w:b/>
              <w:sz w:val="28"/>
            </w:rPr>
            <w:t>词解释</w:t>
          </w:r>
          <w:r>
            <w:rPr>
              <w:rFonts w:eastAsia="仿宋_GB2312"/>
              <w:b/>
              <w:sz w:val="28"/>
            </w:rPr>
            <w:tab/>
          </w:r>
          <w:r>
            <w:rPr>
              <w:rFonts w:eastAsia="仿宋_GB2312"/>
              <w:b/>
              <w:sz w:val="28"/>
            </w:rPr>
            <w:fldChar w:fldCharType="begin"/>
          </w:r>
          <w:r>
            <w:rPr>
              <w:rFonts w:eastAsia="仿宋_GB2312"/>
              <w:b/>
              <w:sz w:val="28"/>
            </w:rPr>
            <w:instrText xml:space="preserve"> PAGEREF _Toc31960 \h </w:instrText>
          </w:r>
          <w:r>
            <w:rPr>
              <w:rFonts w:eastAsia="仿宋_GB2312"/>
              <w:b/>
              <w:sz w:val="28"/>
            </w:rPr>
            <w:fldChar w:fldCharType="separate"/>
          </w:r>
          <w:r>
            <w:rPr>
              <w:rFonts w:eastAsia="仿宋_GB2312"/>
              <w:b/>
              <w:sz w:val="28"/>
            </w:rPr>
            <w:t>- 11 -</w:t>
          </w:r>
          <w:r>
            <w:rPr>
              <w:rFonts w:eastAsia="仿宋_GB2312"/>
              <w:b/>
              <w:sz w:val="28"/>
            </w:rPr>
            <w:fldChar w:fldCharType="end"/>
          </w:r>
          <w:r>
            <w:rPr>
              <w:rFonts w:ascii="黑体" w:hAnsi="黑体" w:eastAsia="仿宋_GB2312"/>
              <w:b/>
              <w:sz w:val="28"/>
              <w:szCs w:val="28"/>
            </w:rPr>
            <w:fldChar w:fldCharType="end"/>
          </w:r>
        </w:p>
        <w:p w14:paraId="15F43E4D">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240" w:lineRule="atLeast"/>
            <w:textAlignment w:val="auto"/>
            <w:rPr>
              <w:rFonts w:eastAsia="仿宋_GB2312"/>
              <w:b/>
              <w:sz w:val="28"/>
            </w:rPr>
          </w:pPr>
          <w:r>
            <w:rPr>
              <w:rFonts w:ascii="黑体" w:hAnsi="黑体" w:eastAsia="仿宋_GB2312"/>
              <w:b/>
              <w:sz w:val="28"/>
              <w:szCs w:val="28"/>
            </w:rPr>
            <w:fldChar w:fldCharType="begin"/>
          </w:r>
          <w:r>
            <w:rPr>
              <w:rFonts w:ascii="黑体" w:hAnsi="黑体" w:eastAsia="仿宋_GB2312"/>
              <w:b/>
              <w:sz w:val="28"/>
              <w:szCs w:val="28"/>
            </w:rPr>
            <w:instrText xml:space="preserve"> HYPERLINK \l _Toc29858 </w:instrText>
          </w:r>
          <w:r>
            <w:rPr>
              <w:rFonts w:ascii="黑体" w:hAnsi="黑体" w:eastAsia="仿宋_GB2312"/>
              <w:b/>
              <w:sz w:val="28"/>
              <w:szCs w:val="28"/>
            </w:rPr>
            <w:fldChar w:fldCharType="separate"/>
          </w:r>
          <w:r>
            <w:rPr>
              <w:rFonts w:hint="eastAsia" w:ascii="黑体" w:hAnsi="黑体" w:eastAsia="仿宋_GB2312"/>
              <w:b/>
              <w:sz w:val="28"/>
              <w:szCs w:val="44"/>
            </w:rPr>
            <w:t>第</w:t>
          </w:r>
          <w:r>
            <w:rPr>
              <w:rFonts w:hint="eastAsia" w:ascii="黑体" w:hAnsi="黑体" w:eastAsia="仿宋_GB2312"/>
              <w:b/>
              <w:sz w:val="28"/>
            </w:rPr>
            <w:t>四部分 附件</w:t>
          </w:r>
          <w:r>
            <w:rPr>
              <w:rFonts w:eastAsia="仿宋_GB2312"/>
              <w:b/>
              <w:sz w:val="28"/>
            </w:rPr>
            <w:tab/>
          </w:r>
          <w:r>
            <w:rPr>
              <w:rFonts w:eastAsia="仿宋_GB2312"/>
              <w:b/>
              <w:sz w:val="28"/>
            </w:rPr>
            <w:fldChar w:fldCharType="begin"/>
          </w:r>
          <w:r>
            <w:rPr>
              <w:rFonts w:eastAsia="仿宋_GB2312"/>
              <w:b/>
              <w:sz w:val="28"/>
            </w:rPr>
            <w:instrText xml:space="preserve"> PAGEREF _Toc29858 \h </w:instrText>
          </w:r>
          <w:r>
            <w:rPr>
              <w:rFonts w:eastAsia="仿宋_GB2312"/>
              <w:b/>
              <w:sz w:val="28"/>
            </w:rPr>
            <w:fldChar w:fldCharType="separate"/>
          </w:r>
          <w:r>
            <w:rPr>
              <w:rFonts w:eastAsia="仿宋_GB2312"/>
              <w:b/>
              <w:sz w:val="28"/>
            </w:rPr>
            <w:t>- 14 -</w:t>
          </w:r>
          <w:r>
            <w:rPr>
              <w:rFonts w:eastAsia="仿宋_GB2312"/>
              <w:b/>
              <w:sz w:val="28"/>
            </w:rPr>
            <w:fldChar w:fldCharType="end"/>
          </w:r>
          <w:r>
            <w:rPr>
              <w:rFonts w:ascii="黑体" w:hAnsi="黑体" w:eastAsia="仿宋_GB2312"/>
              <w:b/>
              <w:sz w:val="28"/>
              <w:szCs w:val="28"/>
            </w:rPr>
            <w:fldChar w:fldCharType="end"/>
          </w:r>
        </w:p>
        <w:p w14:paraId="566D1B8A">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240" w:lineRule="atLeast"/>
            <w:textAlignment w:val="auto"/>
            <w:rPr>
              <w:rFonts w:eastAsia="仿宋_GB2312"/>
              <w:sz w:val="24"/>
            </w:rPr>
          </w:pPr>
          <w:r>
            <w:rPr>
              <w:rFonts w:ascii="黑体" w:hAnsi="黑体" w:eastAsia="仿宋_GB2312"/>
              <w:b/>
              <w:sz w:val="28"/>
              <w:szCs w:val="28"/>
            </w:rPr>
            <w:fldChar w:fldCharType="begin"/>
          </w:r>
          <w:r>
            <w:rPr>
              <w:rFonts w:ascii="黑体" w:hAnsi="黑体" w:eastAsia="仿宋_GB2312"/>
              <w:b/>
              <w:sz w:val="28"/>
              <w:szCs w:val="28"/>
            </w:rPr>
            <w:instrText xml:space="preserve"> HYPERLINK \l _Toc15409 </w:instrText>
          </w:r>
          <w:r>
            <w:rPr>
              <w:rFonts w:ascii="黑体" w:hAnsi="黑体" w:eastAsia="仿宋_GB2312"/>
              <w:b/>
              <w:sz w:val="28"/>
              <w:szCs w:val="28"/>
            </w:rPr>
            <w:fldChar w:fldCharType="separate"/>
          </w:r>
          <w:r>
            <w:rPr>
              <w:rFonts w:hint="eastAsia" w:ascii="黑体" w:hAnsi="黑体" w:eastAsia="仿宋_GB2312"/>
              <w:b/>
              <w:sz w:val="28"/>
              <w:szCs w:val="28"/>
              <w:lang w:eastAsia="zh-CN"/>
            </w:rPr>
            <w:t>第五部分</w:t>
          </w:r>
          <w:r>
            <w:rPr>
              <w:rFonts w:hint="eastAsia" w:ascii="黑体" w:hAnsi="黑体" w:eastAsia="仿宋_GB2312"/>
              <w:b/>
              <w:sz w:val="28"/>
              <w:szCs w:val="28"/>
              <w:lang w:val="en-US" w:eastAsia="zh-CN"/>
            </w:rPr>
            <w:t xml:space="preserve"> 附表</w:t>
          </w:r>
          <w:r>
            <w:rPr>
              <w:rFonts w:eastAsia="仿宋_GB2312"/>
              <w:b/>
              <w:sz w:val="28"/>
            </w:rPr>
            <w:tab/>
          </w:r>
          <w:r>
            <w:rPr>
              <w:rFonts w:eastAsia="仿宋_GB2312"/>
              <w:b/>
              <w:sz w:val="28"/>
            </w:rPr>
            <w:fldChar w:fldCharType="begin"/>
          </w:r>
          <w:r>
            <w:rPr>
              <w:rFonts w:eastAsia="仿宋_GB2312"/>
              <w:b/>
              <w:sz w:val="28"/>
            </w:rPr>
            <w:instrText xml:space="preserve"> PAGEREF _Toc15409 \h </w:instrText>
          </w:r>
          <w:r>
            <w:rPr>
              <w:rFonts w:eastAsia="仿宋_GB2312"/>
              <w:b/>
              <w:sz w:val="28"/>
            </w:rPr>
            <w:fldChar w:fldCharType="separate"/>
          </w:r>
          <w:r>
            <w:rPr>
              <w:rFonts w:eastAsia="仿宋_GB2312"/>
              <w:b/>
              <w:sz w:val="28"/>
            </w:rPr>
            <w:t>- 14 -</w:t>
          </w:r>
          <w:r>
            <w:rPr>
              <w:rFonts w:eastAsia="仿宋_GB2312"/>
              <w:b/>
              <w:sz w:val="28"/>
            </w:rPr>
            <w:fldChar w:fldCharType="end"/>
          </w:r>
          <w:r>
            <w:rPr>
              <w:rFonts w:ascii="黑体" w:hAnsi="黑体" w:eastAsia="仿宋_GB2312"/>
              <w:b/>
              <w:sz w:val="28"/>
              <w:szCs w:val="28"/>
            </w:rPr>
            <w:fldChar w:fldCharType="end"/>
          </w:r>
        </w:p>
        <w:p w14:paraId="603882C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_Toc14632 </w:instrText>
          </w:r>
          <w:r>
            <w:rPr>
              <w:rFonts w:ascii="黑体" w:hAnsi="黑体" w:eastAsia="仿宋_GB2312"/>
              <w:sz w:val="24"/>
              <w:szCs w:val="28"/>
            </w:rPr>
            <w:fldChar w:fldCharType="separate"/>
          </w:r>
          <w:r>
            <w:rPr>
              <w:rFonts w:hint="eastAsia" w:ascii="仿宋_GB2312" w:hAnsi="仿宋_GB2312" w:eastAsia="仿宋_GB2312" w:cs="仿宋_GB2312"/>
              <w:bCs w:val="0"/>
              <w:kern w:val="2"/>
              <w:sz w:val="24"/>
              <w:lang w:val="en-US" w:eastAsia="zh-CN" w:bidi="ar-SA"/>
            </w:rPr>
            <w:t>一、收入支出决算总表</w:t>
          </w:r>
          <w:r>
            <w:rPr>
              <w:rFonts w:eastAsia="仿宋_GB2312"/>
              <w:sz w:val="24"/>
            </w:rPr>
            <w:tab/>
          </w:r>
          <w:r>
            <w:rPr>
              <w:rFonts w:eastAsia="仿宋_GB2312"/>
              <w:sz w:val="24"/>
            </w:rPr>
            <w:fldChar w:fldCharType="begin"/>
          </w:r>
          <w:r>
            <w:rPr>
              <w:rFonts w:eastAsia="仿宋_GB2312"/>
              <w:sz w:val="24"/>
            </w:rPr>
            <w:instrText xml:space="preserve"> PAGEREF _Toc14632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34626337">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_Toc18475 </w:instrText>
          </w:r>
          <w:r>
            <w:rPr>
              <w:rFonts w:ascii="黑体" w:hAnsi="黑体" w:eastAsia="仿宋_GB2312"/>
              <w:sz w:val="24"/>
              <w:szCs w:val="28"/>
            </w:rPr>
            <w:fldChar w:fldCharType="separate"/>
          </w:r>
          <w:r>
            <w:rPr>
              <w:rFonts w:hint="eastAsia" w:ascii="仿宋_GB2312" w:hAnsi="仿宋_GB2312" w:eastAsia="仿宋_GB2312" w:cs="仿宋_GB2312"/>
              <w:sz w:val="24"/>
            </w:rPr>
            <w:t>二、收</w:t>
          </w:r>
          <w:r>
            <w:rPr>
              <w:rFonts w:hint="eastAsia" w:ascii="仿宋_GB2312" w:hAnsi="仿宋_GB2312" w:eastAsia="仿宋_GB2312" w:cs="仿宋_GB2312"/>
              <w:bCs w:val="0"/>
              <w:sz w:val="24"/>
            </w:rPr>
            <w:t>入决算表</w:t>
          </w:r>
          <w:r>
            <w:rPr>
              <w:rFonts w:eastAsia="仿宋_GB2312"/>
              <w:sz w:val="24"/>
            </w:rPr>
            <w:tab/>
          </w:r>
          <w:r>
            <w:rPr>
              <w:rFonts w:eastAsia="仿宋_GB2312"/>
              <w:sz w:val="24"/>
            </w:rPr>
            <w:fldChar w:fldCharType="begin"/>
          </w:r>
          <w:r>
            <w:rPr>
              <w:rFonts w:eastAsia="仿宋_GB2312"/>
              <w:sz w:val="24"/>
            </w:rPr>
            <w:instrText xml:space="preserve"> PAGEREF _Toc18475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04BE5F13">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_Toc20143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三、</w:t>
          </w:r>
          <w:r>
            <w:rPr>
              <w:rFonts w:hint="eastAsia" w:ascii="仿宋_GB2312" w:hAnsi="仿宋_GB2312" w:eastAsia="仿宋_GB2312" w:cs="仿宋_GB2312"/>
              <w:sz w:val="24"/>
            </w:rPr>
            <w:t>支</w:t>
          </w:r>
          <w:r>
            <w:rPr>
              <w:rFonts w:hint="eastAsia" w:ascii="仿宋_GB2312" w:hAnsi="仿宋_GB2312" w:eastAsia="仿宋_GB2312" w:cs="仿宋_GB2312"/>
              <w:bCs w:val="0"/>
              <w:sz w:val="24"/>
            </w:rPr>
            <w:t>出决算表</w:t>
          </w:r>
          <w:r>
            <w:rPr>
              <w:rFonts w:eastAsia="仿宋_GB2312"/>
              <w:sz w:val="24"/>
            </w:rPr>
            <w:tab/>
          </w:r>
          <w:r>
            <w:rPr>
              <w:rFonts w:eastAsia="仿宋_GB2312"/>
              <w:sz w:val="24"/>
            </w:rPr>
            <w:fldChar w:fldCharType="begin"/>
          </w:r>
          <w:r>
            <w:rPr>
              <w:rFonts w:eastAsia="仿宋_GB2312"/>
              <w:sz w:val="24"/>
            </w:rPr>
            <w:instrText xml:space="preserve"> PAGEREF _Toc20143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14E85E0F">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_Toc15976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四、</w:t>
          </w:r>
          <w:r>
            <w:rPr>
              <w:rFonts w:hint="eastAsia" w:ascii="仿宋_GB2312" w:hAnsi="仿宋_GB2312" w:eastAsia="仿宋_GB2312" w:cs="仿宋_GB2312"/>
              <w:sz w:val="24"/>
            </w:rPr>
            <w:t>财</w:t>
          </w:r>
          <w:r>
            <w:rPr>
              <w:rFonts w:hint="eastAsia" w:ascii="仿宋_GB2312" w:hAnsi="仿宋_GB2312" w:eastAsia="仿宋_GB2312" w:cs="仿宋_GB2312"/>
              <w:bCs w:val="0"/>
              <w:sz w:val="24"/>
            </w:rPr>
            <w:t>政拨款收入支出决算总表</w:t>
          </w:r>
          <w:r>
            <w:rPr>
              <w:rFonts w:eastAsia="仿宋_GB2312"/>
              <w:sz w:val="24"/>
            </w:rPr>
            <w:tab/>
          </w:r>
          <w:r>
            <w:rPr>
              <w:rFonts w:eastAsia="仿宋_GB2312"/>
              <w:sz w:val="24"/>
            </w:rPr>
            <w:fldChar w:fldCharType="begin"/>
          </w:r>
          <w:r>
            <w:rPr>
              <w:rFonts w:eastAsia="仿宋_GB2312"/>
              <w:sz w:val="24"/>
            </w:rPr>
            <w:instrText xml:space="preserve"> PAGEREF _Toc15976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7DBCE780">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_Toc19361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五、</w:t>
          </w:r>
          <w:r>
            <w:rPr>
              <w:rFonts w:hint="eastAsia" w:ascii="仿宋_GB2312" w:hAnsi="仿宋_GB2312" w:eastAsia="仿宋_GB2312" w:cs="仿宋_GB2312"/>
              <w:sz w:val="24"/>
            </w:rPr>
            <w:t>财</w:t>
          </w:r>
          <w:r>
            <w:rPr>
              <w:rFonts w:hint="eastAsia" w:ascii="仿宋_GB2312" w:hAnsi="仿宋_GB2312" w:eastAsia="仿宋_GB2312" w:cs="仿宋_GB2312"/>
              <w:bCs w:val="0"/>
              <w:sz w:val="24"/>
            </w:rPr>
            <w:t>政拨款支出决算明细表</w:t>
          </w:r>
          <w:r>
            <w:rPr>
              <w:rFonts w:eastAsia="仿宋_GB2312"/>
              <w:sz w:val="24"/>
            </w:rPr>
            <w:tab/>
          </w:r>
          <w:r>
            <w:rPr>
              <w:rFonts w:eastAsia="仿宋_GB2312"/>
              <w:sz w:val="24"/>
            </w:rPr>
            <w:fldChar w:fldCharType="begin"/>
          </w:r>
          <w:r>
            <w:rPr>
              <w:rFonts w:eastAsia="仿宋_GB2312"/>
              <w:sz w:val="24"/>
            </w:rPr>
            <w:instrText xml:space="preserve"> PAGEREF _Toc19361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0CCE7521">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_Toc7224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六、</w:t>
          </w:r>
          <w:r>
            <w:rPr>
              <w:rFonts w:hint="eastAsia" w:ascii="仿宋_GB2312" w:hAnsi="仿宋_GB2312" w:eastAsia="仿宋_GB2312" w:cs="仿宋_GB2312"/>
              <w:sz w:val="24"/>
            </w:rPr>
            <w:t>一</w:t>
          </w:r>
          <w:r>
            <w:rPr>
              <w:rFonts w:hint="eastAsia" w:ascii="仿宋_GB2312" w:hAnsi="仿宋_GB2312" w:eastAsia="仿宋_GB2312" w:cs="仿宋_GB2312"/>
              <w:bCs w:val="0"/>
              <w:sz w:val="24"/>
            </w:rPr>
            <w:t>般公共预算财政拨款支出决算表</w:t>
          </w:r>
          <w:r>
            <w:rPr>
              <w:rFonts w:eastAsia="仿宋_GB2312"/>
              <w:sz w:val="24"/>
            </w:rPr>
            <w:tab/>
          </w:r>
          <w:r>
            <w:rPr>
              <w:rFonts w:eastAsia="仿宋_GB2312"/>
              <w:sz w:val="24"/>
            </w:rPr>
            <w:fldChar w:fldCharType="begin"/>
          </w:r>
          <w:r>
            <w:rPr>
              <w:rFonts w:eastAsia="仿宋_GB2312"/>
              <w:sz w:val="24"/>
            </w:rPr>
            <w:instrText xml:space="preserve"> PAGEREF _Toc7224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43496CB6">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_Toc22876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七、</w:t>
          </w:r>
          <w:r>
            <w:rPr>
              <w:rFonts w:hint="eastAsia" w:ascii="仿宋_GB2312" w:hAnsi="仿宋_GB2312" w:eastAsia="仿宋_GB2312" w:cs="仿宋_GB2312"/>
              <w:sz w:val="24"/>
            </w:rPr>
            <w:t>一</w:t>
          </w:r>
          <w:r>
            <w:rPr>
              <w:rFonts w:hint="eastAsia" w:ascii="仿宋_GB2312" w:hAnsi="仿宋_GB2312" w:eastAsia="仿宋_GB2312" w:cs="仿宋_GB2312"/>
              <w:bCs w:val="0"/>
              <w:sz w:val="24"/>
            </w:rPr>
            <w:t>般公共预算财政拨款支出决算明细表</w:t>
          </w:r>
          <w:r>
            <w:rPr>
              <w:rFonts w:eastAsia="仿宋_GB2312"/>
              <w:sz w:val="24"/>
            </w:rPr>
            <w:tab/>
          </w:r>
          <w:r>
            <w:rPr>
              <w:rFonts w:eastAsia="仿宋_GB2312"/>
              <w:sz w:val="24"/>
            </w:rPr>
            <w:fldChar w:fldCharType="begin"/>
          </w:r>
          <w:r>
            <w:rPr>
              <w:rFonts w:eastAsia="仿宋_GB2312"/>
              <w:sz w:val="24"/>
            </w:rPr>
            <w:instrText xml:space="preserve"> PAGEREF _Toc22876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375A377C">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_Toc3621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八、</w:t>
          </w:r>
          <w:r>
            <w:rPr>
              <w:rFonts w:hint="eastAsia" w:ascii="仿宋_GB2312" w:hAnsi="仿宋_GB2312" w:eastAsia="仿宋_GB2312" w:cs="仿宋_GB2312"/>
              <w:sz w:val="24"/>
            </w:rPr>
            <w:t>一</w:t>
          </w:r>
          <w:r>
            <w:rPr>
              <w:rFonts w:hint="eastAsia" w:ascii="仿宋_GB2312" w:hAnsi="仿宋_GB2312" w:eastAsia="仿宋_GB2312" w:cs="仿宋_GB2312"/>
              <w:bCs w:val="0"/>
              <w:sz w:val="24"/>
            </w:rPr>
            <w:t>般公共预算财政拨款基本支出决算表</w:t>
          </w:r>
          <w:r>
            <w:rPr>
              <w:rFonts w:eastAsia="仿宋_GB2312"/>
              <w:sz w:val="24"/>
            </w:rPr>
            <w:tab/>
          </w:r>
          <w:r>
            <w:rPr>
              <w:rFonts w:eastAsia="仿宋_GB2312"/>
              <w:sz w:val="24"/>
            </w:rPr>
            <w:fldChar w:fldCharType="begin"/>
          </w:r>
          <w:r>
            <w:rPr>
              <w:rFonts w:eastAsia="仿宋_GB2312"/>
              <w:sz w:val="24"/>
            </w:rPr>
            <w:instrText xml:space="preserve"> PAGEREF _Toc3621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630E03EB">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_Toc95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九、</w:t>
          </w:r>
          <w:r>
            <w:rPr>
              <w:rFonts w:hint="eastAsia" w:ascii="仿宋_GB2312" w:hAnsi="仿宋_GB2312" w:eastAsia="仿宋_GB2312" w:cs="仿宋_GB2312"/>
              <w:sz w:val="24"/>
            </w:rPr>
            <w:t>一</w:t>
          </w:r>
          <w:r>
            <w:rPr>
              <w:rFonts w:hint="eastAsia" w:ascii="仿宋_GB2312" w:hAnsi="仿宋_GB2312" w:eastAsia="仿宋_GB2312" w:cs="仿宋_GB2312"/>
              <w:bCs w:val="0"/>
              <w:sz w:val="24"/>
            </w:rPr>
            <w:t>般公共预算财政拨款项目支出决算表</w:t>
          </w:r>
          <w:r>
            <w:rPr>
              <w:rFonts w:eastAsia="仿宋_GB2312"/>
              <w:sz w:val="24"/>
            </w:rPr>
            <w:tab/>
          </w:r>
          <w:r>
            <w:rPr>
              <w:rFonts w:eastAsia="仿宋_GB2312"/>
              <w:sz w:val="24"/>
            </w:rPr>
            <w:fldChar w:fldCharType="begin"/>
          </w:r>
          <w:r>
            <w:rPr>
              <w:rFonts w:eastAsia="仿宋_GB2312"/>
              <w:sz w:val="24"/>
            </w:rPr>
            <w:instrText xml:space="preserve"> PAGEREF _Toc95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00B1FB89">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_Toc14432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十、</w:t>
          </w:r>
          <w:r>
            <w:rPr>
              <w:rFonts w:hint="eastAsia" w:ascii="仿宋_GB2312" w:hAnsi="仿宋_GB2312" w:eastAsia="仿宋_GB2312" w:cs="仿宋_GB2312"/>
              <w:sz w:val="24"/>
            </w:rPr>
            <w:t>政</w:t>
          </w:r>
          <w:r>
            <w:rPr>
              <w:rFonts w:hint="eastAsia" w:ascii="仿宋_GB2312" w:hAnsi="仿宋_GB2312" w:eastAsia="仿宋_GB2312" w:cs="仿宋_GB2312"/>
              <w:bCs w:val="0"/>
              <w:sz w:val="24"/>
            </w:rPr>
            <w:t>府性基金预算财政拨款收入支出决算表</w:t>
          </w:r>
          <w:r>
            <w:rPr>
              <w:rFonts w:eastAsia="仿宋_GB2312"/>
              <w:sz w:val="24"/>
            </w:rPr>
            <w:tab/>
          </w:r>
          <w:r>
            <w:rPr>
              <w:rFonts w:eastAsia="仿宋_GB2312"/>
              <w:sz w:val="24"/>
            </w:rPr>
            <w:fldChar w:fldCharType="begin"/>
          </w:r>
          <w:r>
            <w:rPr>
              <w:rFonts w:eastAsia="仿宋_GB2312"/>
              <w:sz w:val="24"/>
            </w:rPr>
            <w:instrText xml:space="preserve"> PAGEREF _Toc14432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691C8A5D">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_Toc25341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十一、</w:t>
          </w:r>
          <w:r>
            <w:rPr>
              <w:rFonts w:hint="eastAsia" w:ascii="仿宋_GB2312" w:hAnsi="仿宋_GB2312" w:eastAsia="仿宋_GB2312" w:cs="仿宋_GB2312"/>
              <w:sz w:val="24"/>
            </w:rPr>
            <w:t>国</w:t>
          </w:r>
          <w:r>
            <w:rPr>
              <w:rFonts w:hint="eastAsia" w:ascii="仿宋_GB2312" w:hAnsi="仿宋_GB2312" w:eastAsia="仿宋_GB2312" w:cs="仿宋_GB2312"/>
              <w:bCs w:val="0"/>
              <w:sz w:val="24"/>
            </w:rPr>
            <w:t>有资本经营预算财政拨款收入支出决算表</w:t>
          </w:r>
          <w:r>
            <w:rPr>
              <w:rFonts w:eastAsia="仿宋_GB2312"/>
              <w:sz w:val="24"/>
            </w:rPr>
            <w:tab/>
          </w:r>
          <w:r>
            <w:rPr>
              <w:rFonts w:eastAsia="仿宋_GB2312"/>
              <w:sz w:val="24"/>
            </w:rPr>
            <w:fldChar w:fldCharType="begin"/>
          </w:r>
          <w:r>
            <w:rPr>
              <w:rFonts w:eastAsia="仿宋_GB2312"/>
              <w:sz w:val="24"/>
            </w:rPr>
            <w:instrText xml:space="preserve"> PAGEREF _Toc25341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55A346A0">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_Toc12087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十二、国有资本经营预算财政拨款支出决算表</w:t>
          </w:r>
          <w:r>
            <w:rPr>
              <w:rFonts w:eastAsia="仿宋_GB2312"/>
              <w:sz w:val="24"/>
            </w:rPr>
            <w:tab/>
          </w:r>
          <w:r>
            <w:rPr>
              <w:rFonts w:eastAsia="仿宋_GB2312"/>
              <w:sz w:val="24"/>
            </w:rPr>
            <w:fldChar w:fldCharType="begin"/>
          </w:r>
          <w:r>
            <w:rPr>
              <w:rFonts w:eastAsia="仿宋_GB2312"/>
              <w:sz w:val="24"/>
            </w:rPr>
            <w:instrText xml:space="preserve"> PAGEREF _Toc12087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61DC9F51">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eastAsia="仿宋_GB2312"/>
              <w:sz w:val="24"/>
            </w:rPr>
          </w:pPr>
          <w:r>
            <w:rPr>
              <w:rFonts w:ascii="黑体" w:hAnsi="黑体" w:eastAsia="仿宋_GB2312"/>
              <w:sz w:val="24"/>
              <w:szCs w:val="28"/>
            </w:rPr>
            <w:fldChar w:fldCharType="begin"/>
          </w:r>
          <w:r>
            <w:rPr>
              <w:rFonts w:ascii="黑体" w:hAnsi="黑体" w:eastAsia="仿宋_GB2312"/>
              <w:sz w:val="24"/>
              <w:szCs w:val="28"/>
            </w:rPr>
            <w:instrText xml:space="preserve"> HYPERLINK \l _Toc23178 </w:instrText>
          </w:r>
          <w:r>
            <w:rPr>
              <w:rFonts w:ascii="黑体" w:hAnsi="黑体" w:eastAsia="仿宋_GB2312"/>
              <w:sz w:val="24"/>
              <w:szCs w:val="28"/>
            </w:rPr>
            <w:fldChar w:fldCharType="separate"/>
          </w:r>
          <w:r>
            <w:rPr>
              <w:rFonts w:hint="eastAsia" w:ascii="仿宋_GB2312" w:hAnsi="仿宋_GB2312" w:eastAsia="仿宋_GB2312" w:cs="仿宋_GB2312"/>
              <w:bCs w:val="0"/>
              <w:sz w:val="24"/>
            </w:rPr>
            <w:t>十三、财政拨款“三公”经费支出决算表</w:t>
          </w:r>
          <w:r>
            <w:rPr>
              <w:rFonts w:eastAsia="仿宋_GB2312"/>
              <w:sz w:val="24"/>
            </w:rPr>
            <w:tab/>
          </w:r>
          <w:r>
            <w:rPr>
              <w:rFonts w:eastAsia="仿宋_GB2312"/>
              <w:sz w:val="24"/>
            </w:rPr>
            <w:fldChar w:fldCharType="begin"/>
          </w:r>
          <w:r>
            <w:rPr>
              <w:rFonts w:eastAsia="仿宋_GB2312"/>
              <w:sz w:val="24"/>
            </w:rPr>
            <w:instrText xml:space="preserve"> PAGEREF _Toc23178 \h </w:instrText>
          </w:r>
          <w:r>
            <w:rPr>
              <w:rFonts w:eastAsia="仿宋_GB2312"/>
              <w:sz w:val="24"/>
            </w:rPr>
            <w:fldChar w:fldCharType="separate"/>
          </w:r>
          <w:r>
            <w:rPr>
              <w:rFonts w:eastAsia="仿宋_GB2312"/>
              <w:sz w:val="24"/>
            </w:rPr>
            <w:t>- 38 -</w:t>
          </w:r>
          <w:r>
            <w:rPr>
              <w:rFonts w:eastAsia="仿宋_GB2312"/>
              <w:sz w:val="24"/>
            </w:rPr>
            <w:fldChar w:fldCharType="end"/>
          </w:r>
          <w:r>
            <w:rPr>
              <w:rFonts w:ascii="黑体" w:hAnsi="黑体" w:eastAsia="仿宋_GB2312"/>
              <w:sz w:val="24"/>
              <w:szCs w:val="28"/>
            </w:rPr>
            <w:fldChar w:fldCharType="end"/>
          </w:r>
        </w:p>
        <w:p w14:paraId="4C8EABB7">
          <w:pPr>
            <w:keepNext w:val="0"/>
            <w:keepLines w:val="0"/>
            <w:pageBreakBefore w:val="0"/>
            <w:widowControl/>
            <w:kinsoku/>
            <w:wordWrap/>
            <w:overflowPunct/>
            <w:topLinePunct w:val="0"/>
            <w:autoSpaceDE/>
            <w:autoSpaceDN/>
            <w:bidi w:val="0"/>
            <w:adjustRightInd/>
            <w:snapToGrid/>
            <w:jc w:val="center"/>
            <w:textAlignment w:val="auto"/>
            <w:rPr>
              <w:rFonts w:ascii="黑体" w:hAnsi="黑体" w:eastAsia="黑体" w:cs="Times New Roman"/>
              <w:kern w:val="2"/>
              <w:sz w:val="21"/>
              <w:szCs w:val="28"/>
              <w:lang w:val="en-US" w:eastAsia="zh-CN" w:bidi="ar-SA"/>
            </w:rPr>
            <w:sectPr>
              <w:pgSz w:w="11906" w:h="16838"/>
              <w:pgMar w:top="1440" w:right="1800" w:bottom="1440" w:left="1800" w:header="720" w:footer="720" w:gutter="0"/>
              <w:cols w:space="720" w:num="1"/>
              <w:docGrid w:type="lines" w:linePitch="312" w:charSpace="0"/>
            </w:sectPr>
          </w:pPr>
          <w:r>
            <w:rPr>
              <w:rFonts w:ascii="黑体" w:hAnsi="黑体" w:eastAsia="仿宋_GB2312"/>
              <w:sz w:val="24"/>
              <w:szCs w:val="28"/>
            </w:rPr>
            <w:fldChar w:fldCharType="end"/>
          </w:r>
        </w:p>
      </w:sdtContent>
    </w:sdt>
    <w:p w14:paraId="35ED348E">
      <w:pPr>
        <w:pStyle w:val="2"/>
        <w:jc w:val="center"/>
        <w:rPr>
          <w:rFonts w:ascii="黑体" w:eastAsia="黑体"/>
          <w:sz w:val="32"/>
          <w:szCs w:val="32"/>
        </w:rPr>
      </w:pPr>
      <w:bookmarkStart w:id="7" w:name="_Toc11469"/>
      <w:bookmarkStart w:id="8" w:name="_Toc15377196"/>
      <w:bookmarkStart w:id="9" w:name="_Toc15396599"/>
      <w:r>
        <w:rPr>
          <w:rFonts w:hint="eastAsia" w:ascii="方正小标宋_GBK" w:hAnsi="方正小标宋_GBK" w:eastAsia="方正小标宋_GBK" w:cs="方正小标宋_GBK"/>
          <w:b w:val="0"/>
        </w:rPr>
        <w:t xml:space="preserve">第一部分 </w:t>
      </w:r>
      <w:r>
        <w:rPr>
          <w:rStyle w:val="20"/>
          <w:rFonts w:hint="eastAsia" w:ascii="方正小标宋_GBK" w:hAnsi="方正小标宋_GBK" w:eastAsia="方正小标宋_GBK" w:cs="方正小标宋_GBK"/>
          <w:b w:val="0"/>
          <w:bCs w:val="0"/>
        </w:rPr>
        <w:t>部门概况</w:t>
      </w:r>
      <w:bookmarkEnd w:id="7"/>
      <w:bookmarkEnd w:id="8"/>
      <w:bookmarkEnd w:id="9"/>
    </w:p>
    <w:p w14:paraId="5BCE25C1">
      <w:pPr>
        <w:pStyle w:val="3"/>
        <w:numPr>
          <w:ilvl w:val="0"/>
          <w:numId w:val="1"/>
        </w:numPr>
        <w:rPr>
          <w:rFonts w:ascii="黑体" w:hAnsi="黑体" w:eastAsia="黑体"/>
          <w:b w:val="0"/>
        </w:rPr>
      </w:pPr>
      <w:bookmarkStart w:id="10" w:name="_Toc6054"/>
      <w:r>
        <w:rPr>
          <w:rFonts w:hint="eastAsia" w:ascii="黑体" w:hAnsi="黑体" w:eastAsia="黑体"/>
          <w:b w:val="0"/>
        </w:rPr>
        <w:t>部门职责</w:t>
      </w:r>
      <w:bookmarkEnd w:id="10"/>
    </w:p>
    <w:p w14:paraId="35D22532">
      <w:pPr>
        <w:pStyle w:val="5"/>
        <w:spacing w:line="576" w:lineRule="exact"/>
        <w:ind w:firstLine="640" w:firstLineChars="200"/>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人民检察院是国家的法律监督机关，</w:t>
      </w:r>
      <w:r>
        <w:rPr>
          <w:rFonts w:hint="eastAsia" w:ascii="仿宋_GB2312" w:hAnsi="仿宋_GB2312" w:eastAsia="仿宋_GB2312" w:cs="仿宋_GB2312"/>
          <w:sz w:val="32"/>
          <w:szCs w:val="32"/>
          <w:lang w:eastAsia="zh-CN"/>
        </w:rPr>
        <w:t>广元市昭化区人民检察院（以下简称“昭化区检察院”）</w:t>
      </w:r>
      <w:r>
        <w:rPr>
          <w:rFonts w:ascii="仿宋_GB2312" w:hAnsi="仿宋_GB2312" w:eastAsia="仿宋_GB2312" w:cs="仿宋_GB2312"/>
          <w:sz w:val="32"/>
          <w:szCs w:val="32"/>
        </w:rPr>
        <w:t>通过履行</w:t>
      </w:r>
      <w:r>
        <w:rPr>
          <w:rFonts w:hint="eastAsia" w:ascii="仿宋_GB2312" w:hAnsi="仿宋_GB2312" w:eastAsia="仿宋_GB2312" w:cs="仿宋_GB2312"/>
          <w:sz w:val="32"/>
          <w:szCs w:val="32"/>
          <w:lang w:eastAsia="zh-CN"/>
        </w:rPr>
        <w:t>审查</w:t>
      </w:r>
      <w:r>
        <w:rPr>
          <w:rFonts w:ascii="仿宋_GB2312" w:hAnsi="仿宋_GB2312" w:eastAsia="仿宋_GB2312" w:cs="仿宋_GB2312"/>
          <w:sz w:val="32"/>
          <w:szCs w:val="32"/>
        </w:rPr>
        <w:t>逮捕、审查起诉、支持公诉等法律监督职能，保证国家法律的统一和正确实施。对于侦查机关侦查的案件进行审查，决定是否逮捕、起诉或者不起诉。并对侦查机关的立案、侦查活动是否合法实行监督。对于刑事案件提起公诉，支持公诉；对于人民法院的刑事判决、裁定是否正确和审判活动是否合法实行监督。对于</w:t>
      </w:r>
      <w:r>
        <w:rPr>
          <w:rFonts w:hint="eastAsia" w:ascii="仿宋_GB2312" w:hAnsi="仿宋_GB2312" w:eastAsia="仿宋_GB2312" w:cs="仿宋_GB2312"/>
          <w:sz w:val="32"/>
          <w:szCs w:val="32"/>
          <w:lang w:eastAsia="zh-CN"/>
        </w:rPr>
        <w:t>社区矫正等刑、罚</w:t>
      </w:r>
      <w:r>
        <w:rPr>
          <w:rFonts w:ascii="仿宋_GB2312" w:hAnsi="仿宋_GB2312" w:eastAsia="仿宋_GB2312" w:cs="仿宋_GB2312"/>
          <w:sz w:val="32"/>
          <w:szCs w:val="32"/>
        </w:rPr>
        <w:t>执行机关执行刑</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罚的活动是否合法实行监督。对于人民法院的民事审判活动实行法律监督，对人民法院已经发生效力的</w:t>
      </w:r>
      <w:r>
        <w:rPr>
          <w:rFonts w:hint="eastAsia" w:ascii="仿宋_GB2312" w:hAnsi="仿宋_GB2312" w:eastAsia="仿宋_GB2312" w:cs="仿宋_GB2312"/>
          <w:sz w:val="32"/>
          <w:szCs w:val="32"/>
          <w:lang w:eastAsia="zh-CN"/>
        </w:rPr>
        <w:t>民事、行政</w:t>
      </w:r>
      <w:r>
        <w:rPr>
          <w:rFonts w:ascii="仿宋_GB2312" w:hAnsi="仿宋_GB2312" w:eastAsia="仿宋_GB2312" w:cs="仿宋_GB2312"/>
          <w:sz w:val="32"/>
          <w:szCs w:val="32"/>
        </w:rPr>
        <w:t>判决、裁定，发现违反法律、法规规定的，依法提出抗诉</w:t>
      </w:r>
      <w:r>
        <w:rPr>
          <w:rFonts w:hint="eastAsia" w:ascii="仿宋_GB2312" w:hAnsi="仿宋_GB2312" w:eastAsia="仿宋_GB2312" w:cs="仿宋_GB2312"/>
          <w:sz w:val="32"/>
          <w:szCs w:val="32"/>
          <w:lang w:eastAsia="zh-CN"/>
        </w:rPr>
        <w:t>。针对生态环境保护、文物和文化遗产保护、安全生产等重点领域损害国家、社会公共利益的行为开展公益诉讼。</w:t>
      </w:r>
    </w:p>
    <w:p w14:paraId="56F2EEBF">
      <w:pPr>
        <w:pStyle w:val="3"/>
        <w:rPr>
          <w:rFonts w:hint="eastAsia" w:ascii="黑体" w:hAnsi="黑体" w:eastAsia="黑体" w:cs="黑体"/>
          <w:b w:val="0"/>
          <w:bCs w:val="0"/>
        </w:rPr>
      </w:pPr>
      <w:bookmarkStart w:id="11" w:name="_Toc15396601"/>
      <w:bookmarkStart w:id="12" w:name="_Toc15377200"/>
      <w:bookmarkStart w:id="13" w:name="_Toc23725"/>
      <w:r>
        <w:rPr>
          <w:rFonts w:hint="eastAsia" w:ascii="黑体" w:hAnsi="黑体" w:eastAsia="黑体" w:cs="黑体"/>
          <w:b w:val="0"/>
          <w:bCs w:val="0"/>
        </w:rPr>
        <w:t>二、机构设置</w:t>
      </w:r>
      <w:bookmarkEnd w:id="11"/>
      <w:bookmarkEnd w:id="12"/>
      <w:bookmarkEnd w:id="13"/>
    </w:p>
    <w:p w14:paraId="0C7F2A3E">
      <w:pPr>
        <w:pStyle w:val="5"/>
        <w:spacing w:line="576"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eastAsia="zh-CN"/>
        </w:rPr>
        <w:t>广元市</w:t>
      </w:r>
      <w:r>
        <w:rPr>
          <w:rFonts w:ascii="仿宋_GB2312" w:hAnsi="仿宋_GB2312" w:eastAsia="仿宋_GB2312" w:cs="仿宋_GB2312"/>
          <w:sz w:val="32"/>
          <w:szCs w:val="32"/>
        </w:rPr>
        <w:t>昭化区</w:t>
      </w:r>
      <w:r>
        <w:rPr>
          <w:rFonts w:hint="eastAsia" w:ascii="仿宋_GB2312" w:hAnsi="仿宋_GB2312" w:eastAsia="仿宋_GB2312" w:cs="仿宋_GB2312"/>
          <w:sz w:val="32"/>
          <w:szCs w:val="32"/>
          <w:lang w:eastAsia="zh-CN"/>
        </w:rPr>
        <w:t>人民</w:t>
      </w:r>
      <w:r>
        <w:rPr>
          <w:rFonts w:ascii="仿宋_GB2312" w:hAnsi="仿宋_GB2312" w:eastAsia="仿宋_GB2312" w:cs="仿宋_GB2312"/>
          <w:sz w:val="32"/>
          <w:szCs w:val="32"/>
        </w:rPr>
        <w:t>检察院</w:t>
      </w:r>
      <w:r>
        <w:rPr>
          <w:rFonts w:hint="eastAsia" w:ascii="仿宋_GB2312" w:hAnsi="仿宋_GB2312" w:eastAsia="仿宋_GB2312" w:cs="仿宋_GB2312"/>
          <w:sz w:val="32"/>
          <w:szCs w:val="32"/>
          <w:lang w:eastAsia="zh-CN"/>
        </w:rPr>
        <w:t>部门</w:t>
      </w:r>
      <w:r>
        <w:rPr>
          <w:rFonts w:ascii="仿宋_GB2312" w:hAnsi="仿宋_GB2312" w:eastAsia="仿宋_GB2312" w:cs="仿宋_GB2312"/>
          <w:sz w:val="32"/>
          <w:szCs w:val="32"/>
        </w:rPr>
        <w:t>为一级预算单位，下属二级</w:t>
      </w:r>
      <w:r>
        <w:rPr>
          <w:rFonts w:hint="eastAsia" w:ascii="仿宋_GB2312" w:hAnsi="仿宋_GB2312" w:eastAsia="仿宋_GB2312" w:cs="仿宋_GB2312"/>
          <w:color w:val="000000" w:themeColor="text1"/>
          <w:sz w:val="32"/>
          <w:szCs w:val="32"/>
          <w:lang w:eastAsia="zh-CN"/>
          <w14:textFill>
            <w14:solidFill>
              <w14:schemeClr w14:val="tx1"/>
            </w14:solidFill>
          </w14:textFill>
        </w:rPr>
        <w:t>预算</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1个为</w:t>
      </w:r>
      <w:r>
        <w:rPr>
          <w:rFonts w:hint="eastAsia" w:ascii="仿宋_GB2312" w:hAnsi="仿宋_GB2312" w:eastAsia="仿宋_GB2312" w:cs="仿宋_GB2312"/>
          <w:sz w:val="32"/>
          <w:szCs w:val="32"/>
          <w:lang w:eastAsia="zh-CN"/>
        </w:rPr>
        <w:t>广元市</w:t>
      </w:r>
      <w:r>
        <w:rPr>
          <w:rFonts w:ascii="仿宋_GB2312" w:hAnsi="仿宋_GB2312" w:eastAsia="仿宋_GB2312" w:cs="仿宋_GB2312"/>
          <w:sz w:val="32"/>
          <w:szCs w:val="32"/>
        </w:rPr>
        <w:t>昭化区</w:t>
      </w:r>
      <w:r>
        <w:rPr>
          <w:rFonts w:hint="eastAsia" w:ascii="仿宋_GB2312" w:hAnsi="仿宋_GB2312" w:eastAsia="仿宋_GB2312" w:cs="仿宋_GB2312"/>
          <w:sz w:val="32"/>
          <w:szCs w:val="32"/>
          <w:lang w:eastAsia="zh-CN"/>
        </w:rPr>
        <w:t>人民</w:t>
      </w:r>
      <w:r>
        <w:rPr>
          <w:rFonts w:ascii="仿宋_GB2312" w:hAnsi="仿宋_GB2312" w:eastAsia="仿宋_GB2312" w:cs="仿宋_GB2312"/>
          <w:sz w:val="32"/>
          <w:szCs w:val="32"/>
        </w:rPr>
        <w:t>检察院。检察院下属内设机构 5 个，其中业务部门 3 个（第一、第二、第三检察部），综合部门2</w:t>
      </w:r>
      <w:r>
        <w:rPr>
          <w:rFonts w:hint="eastAsia" w:ascii="仿宋_GB2312" w:hAnsi="仿宋_GB2312" w:eastAsia="仿宋_GB2312" w:cs="仿宋_GB2312"/>
          <w:sz w:val="32"/>
          <w:szCs w:val="32"/>
        </w:rPr>
        <w:t>个</w:t>
      </w:r>
      <w:r>
        <w:rPr>
          <w:rFonts w:ascii="仿宋_GB2312" w:hAnsi="仿宋_GB2312" w:eastAsia="仿宋_GB2312" w:cs="仿宋_GB2312"/>
          <w:sz w:val="32"/>
          <w:szCs w:val="32"/>
        </w:rPr>
        <w:t>（办公室、政治部）。</w:t>
      </w:r>
    </w:p>
    <w:p w14:paraId="06FB8900">
      <w:pPr>
        <w:pStyle w:val="2"/>
        <w:ind w:right="440"/>
        <w:jc w:val="center"/>
        <w:rPr>
          <w:rStyle w:val="20"/>
          <w:rFonts w:hint="eastAsia" w:ascii="方正小标宋_GBK" w:hAnsi="方正小标宋_GBK" w:eastAsia="方正小标宋_GBK" w:cs="方正小标宋_GBK"/>
          <w:b w:val="0"/>
          <w:bCs w:val="0"/>
        </w:rPr>
      </w:pPr>
      <w:bookmarkStart w:id="14" w:name="_Toc15396602"/>
      <w:bookmarkStart w:id="15" w:name="_Toc15377204"/>
      <w:bookmarkStart w:id="16" w:name="_Toc27668"/>
      <w:r>
        <w:rPr>
          <w:rFonts w:hint="eastAsia" w:ascii="方正小标宋_GBK" w:hAnsi="方正小标宋_GBK" w:eastAsia="方正小标宋_GBK" w:cs="方正小标宋_GBK"/>
          <w:b w:val="0"/>
        </w:rPr>
        <w:t>第二部分 2023年度</w:t>
      </w:r>
      <w:r>
        <w:rPr>
          <w:rStyle w:val="20"/>
          <w:rFonts w:hint="eastAsia" w:ascii="方正小标宋_GBK" w:hAnsi="方正小标宋_GBK" w:eastAsia="方正小标宋_GBK" w:cs="方正小标宋_GBK"/>
          <w:b w:val="0"/>
          <w:bCs w:val="0"/>
        </w:rPr>
        <w:t>部门决算情况说明</w:t>
      </w:r>
      <w:bookmarkEnd w:id="14"/>
      <w:bookmarkEnd w:id="15"/>
      <w:bookmarkEnd w:id="16"/>
    </w:p>
    <w:p w14:paraId="46B824DF"/>
    <w:p w14:paraId="4C129372">
      <w:pPr>
        <w:pStyle w:val="25"/>
        <w:numPr>
          <w:ilvl w:val="0"/>
          <w:numId w:val="0"/>
        </w:numPr>
        <w:spacing w:line="600" w:lineRule="exact"/>
        <w:outlineLvl w:val="1"/>
        <w:rPr>
          <w:rStyle w:val="21"/>
          <w:rFonts w:ascii="黑体" w:hAnsi="黑体" w:eastAsia="黑体"/>
          <w:b w:val="0"/>
        </w:rPr>
      </w:pPr>
      <w:bookmarkStart w:id="17" w:name="_Toc15377205"/>
      <w:bookmarkStart w:id="18" w:name="_Toc15396603"/>
      <w:bookmarkStart w:id="19" w:name="_Toc5345"/>
      <w:r>
        <w:rPr>
          <w:rFonts w:hint="eastAsia" w:ascii="黑体" w:hAnsi="黑体" w:eastAsia="黑体"/>
          <w:sz w:val="32"/>
          <w:szCs w:val="32"/>
          <w:lang w:eastAsia="zh-CN"/>
        </w:rPr>
        <w:t>一、</w:t>
      </w:r>
      <w:r>
        <w:rPr>
          <w:rFonts w:hint="eastAsia" w:ascii="黑体" w:hAnsi="黑体" w:eastAsia="黑体"/>
          <w:sz w:val="32"/>
          <w:szCs w:val="32"/>
        </w:rPr>
        <w:t>收</w:t>
      </w:r>
      <w:r>
        <w:rPr>
          <w:rStyle w:val="21"/>
          <w:rFonts w:hint="eastAsia" w:ascii="黑体" w:hAnsi="黑体" w:eastAsia="黑体"/>
          <w:b w:val="0"/>
        </w:rPr>
        <w:t>入支出决算总体情况说明</w:t>
      </w:r>
      <w:bookmarkEnd w:id="17"/>
      <w:bookmarkEnd w:id="18"/>
      <w:bookmarkEnd w:id="19"/>
    </w:p>
    <w:p w14:paraId="7E9B5AC1">
      <w:pPr>
        <w:spacing w:line="600" w:lineRule="exact"/>
        <w:ind w:firstLine="630" w:firstLineChars="300"/>
        <w:rPr>
          <w:rFonts w:hint="eastAsia" w:ascii="仿宋_GB2312" w:hAnsi="仿宋_GB2312" w:eastAsia="仿宋_GB2312" w:cs="仿宋_GB2312"/>
          <w:sz w:val="32"/>
          <w:szCs w:val="32"/>
        </w:rPr>
      </w:pPr>
      <w:r>
        <w:drawing>
          <wp:anchor distT="0" distB="0" distL="114300" distR="114300" simplePos="0" relativeHeight="251660288" behindDoc="1" locked="0" layoutInCell="1" allowOverlap="1">
            <wp:simplePos x="0" y="0"/>
            <wp:positionH relativeFrom="column">
              <wp:posOffset>165100</wp:posOffset>
            </wp:positionH>
            <wp:positionV relativeFrom="paragraph">
              <wp:posOffset>1369695</wp:posOffset>
            </wp:positionV>
            <wp:extent cx="5099050" cy="3194050"/>
            <wp:effectExtent l="0" t="0" r="6350" b="6350"/>
            <wp:wrapTight wrapText="bothSides">
              <wp:wrapPolygon>
                <wp:start x="0" y="0"/>
                <wp:lineTo x="0" y="21514"/>
                <wp:lineTo x="21546" y="21514"/>
                <wp:lineTo x="21546" y="0"/>
                <wp:lineTo x="0" y="0"/>
              </wp:wrapPolygon>
            </wp:wrapTight>
            <wp:docPr id="149077510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hint="eastAsia" w:ascii="仿宋_GB2312" w:hAnsi="仿宋_GB2312" w:eastAsia="仿宋_GB2312" w:cs="仿宋_GB2312"/>
          <w:sz w:val="32"/>
          <w:szCs w:val="32"/>
        </w:rPr>
        <w:t>2023年度收、支总计均为931.4万元。与2022年度相比，收、支总计各减少223.04万元，下降19.32%。主要变动原因是</w:t>
      </w:r>
      <w:r>
        <w:rPr>
          <w:rFonts w:hint="eastAsia" w:ascii="仿宋_GB2312" w:hAnsi="仿宋_GB2312" w:eastAsia="仿宋_GB2312" w:cs="仿宋_GB2312"/>
          <w:color w:val="000000"/>
          <w:sz w:val="32"/>
          <w:szCs w:val="32"/>
          <w:shd w:val="clear" w:color="auto" w:fill="FFFFFF"/>
        </w:rPr>
        <w:t>厉行节约</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机关日常运行经费相应减少</w:t>
      </w:r>
      <w:r>
        <w:rPr>
          <w:rFonts w:hint="eastAsia" w:ascii="仿宋_GB2312" w:hAnsi="仿宋_GB2312" w:eastAsia="仿宋_GB2312" w:cs="仿宋_GB2312"/>
          <w:sz w:val="32"/>
          <w:szCs w:val="32"/>
        </w:rPr>
        <w:t>。</w:t>
      </w:r>
    </w:p>
    <w:p w14:paraId="42D4E9FA">
      <w:pPr>
        <w:spacing w:line="600" w:lineRule="exact"/>
        <w:ind w:firstLine="1280" w:firstLine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14:paraId="2F6C41F4">
      <w:pPr>
        <w:pStyle w:val="25"/>
        <w:numPr>
          <w:ilvl w:val="0"/>
          <w:numId w:val="0"/>
        </w:numPr>
        <w:spacing w:line="240" w:lineRule="auto"/>
        <w:ind w:leftChars="0"/>
        <w:outlineLvl w:val="1"/>
        <w:rPr>
          <w:rFonts w:hint="eastAsia" w:ascii="黑体" w:hAnsi="黑体" w:eastAsia="黑体"/>
          <w:bCs/>
          <w:sz w:val="32"/>
          <w:szCs w:val="32"/>
        </w:rPr>
      </w:pPr>
      <w:bookmarkStart w:id="20" w:name="_Toc15396604"/>
      <w:bookmarkStart w:id="21" w:name="_Toc32290"/>
      <w:bookmarkStart w:id="22" w:name="_Toc15377206"/>
      <w:r>
        <w:rPr>
          <w:rFonts w:hint="eastAsia" w:ascii="黑体" w:hAnsi="黑体" w:eastAsia="黑体"/>
          <w:sz w:val="32"/>
          <w:szCs w:val="32"/>
          <w:lang w:eastAsia="zh-CN"/>
        </w:rPr>
        <w:t>二、</w:t>
      </w:r>
      <w:r>
        <w:rPr>
          <w:rFonts w:hint="eastAsia" w:ascii="黑体" w:hAnsi="黑体" w:eastAsia="黑体"/>
          <w:sz w:val="32"/>
          <w:szCs w:val="32"/>
        </w:rPr>
        <w:t>收</w:t>
      </w:r>
      <w:r>
        <w:rPr>
          <w:rStyle w:val="21"/>
          <w:rFonts w:hint="eastAsia" w:ascii="黑体" w:hAnsi="黑体" w:eastAsia="黑体"/>
          <w:b w:val="0"/>
        </w:rPr>
        <w:t>入决算情况说明</w:t>
      </w:r>
      <w:bookmarkEnd w:id="20"/>
      <w:bookmarkEnd w:id="21"/>
      <w:bookmarkEnd w:id="22"/>
    </w:p>
    <w:p w14:paraId="1723885A">
      <w:pPr>
        <w:spacing w:line="600" w:lineRule="exact"/>
        <w:ind w:firstLine="640" w:firstLineChars="200"/>
        <w:outlineLvl w:val="1"/>
        <w:rPr>
          <w:rFonts w:hint="eastAsia" w:ascii="仿宋_GB2312" w:hAnsi="仿宋_GB2312" w:eastAsia="仿宋_GB2312" w:cs="仿宋_GB2312"/>
          <w:sz w:val="32"/>
          <w:szCs w:val="32"/>
        </w:rPr>
      </w:pPr>
      <w:bookmarkStart w:id="23" w:name="_Toc7507"/>
      <w:r>
        <w:rPr>
          <w:rFonts w:hint="eastAsia" w:ascii="仿宋_GB2312" w:hAnsi="仿宋_GB2312" w:eastAsia="仿宋_GB2312" w:cs="仿宋_GB2312"/>
          <w:sz w:val="32"/>
          <w:szCs w:val="32"/>
        </w:rPr>
        <w:t>2023年度本年收入合计931.4万元，其中：一般公共预算财政拨款收入767.89万元，占82.44%；其他收入163.51万元，占17.56%。</w:t>
      </w:r>
      <w:bookmarkEnd w:id="23"/>
    </w:p>
    <w:p w14:paraId="20B95F5B">
      <w:pPr>
        <w:spacing w:line="600" w:lineRule="exact"/>
        <w:ind w:firstLine="2100" w:firstLineChars="1000"/>
        <w:outlineLvl w:val="1"/>
        <w:rPr>
          <w:rFonts w:ascii="仿宋" w:hAnsi="仿宋" w:eastAsia="仿宋"/>
          <w:sz w:val="32"/>
          <w:szCs w:val="32"/>
        </w:rPr>
      </w:pPr>
      <w:bookmarkStart w:id="24" w:name="_Toc23824"/>
      <w:r>
        <w:drawing>
          <wp:anchor distT="0" distB="0" distL="114300" distR="114300" simplePos="0" relativeHeight="251661312" behindDoc="1" locked="0" layoutInCell="1" allowOverlap="1">
            <wp:simplePos x="0" y="0"/>
            <wp:positionH relativeFrom="column">
              <wp:posOffset>228600</wp:posOffset>
            </wp:positionH>
            <wp:positionV relativeFrom="paragraph">
              <wp:posOffset>44450</wp:posOffset>
            </wp:positionV>
            <wp:extent cx="4959350" cy="2825750"/>
            <wp:effectExtent l="0" t="0" r="12700" b="12700"/>
            <wp:wrapTopAndBottom/>
            <wp:docPr id="105288730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sz w:val="32"/>
          <w:szCs w:val="32"/>
        </w:rPr>
        <w:t>（图2：收入决算结构图）</w:t>
      </w:r>
      <w:bookmarkEnd w:id="24"/>
      <w:bookmarkStart w:id="25" w:name="_Toc15377207"/>
      <w:bookmarkStart w:id="26" w:name="_Toc15396605"/>
    </w:p>
    <w:p w14:paraId="07F6D996">
      <w:pPr>
        <w:spacing w:line="600" w:lineRule="exact"/>
        <w:ind w:firstLine="640" w:firstLineChars="200"/>
        <w:outlineLvl w:val="1"/>
        <w:rPr>
          <w:rFonts w:ascii="仿宋_GB2312" w:hAnsi="仿宋_GB2312" w:eastAsia="仿宋_GB2312" w:cs="仿宋_GB2312"/>
          <w:sz w:val="32"/>
          <w:szCs w:val="32"/>
        </w:rPr>
      </w:pPr>
      <w:bookmarkStart w:id="27" w:name="_Toc31580"/>
      <w:r>
        <w:rPr>
          <w:rFonts w:hint="eastAsia" w:ascii="黑体" w:hAnsi="黑体" w:eastAsia="黑体"/>
          <w:sz w:val="32"/>
          <w:szCs w:val="32"/>
        </w:rPr>
        <w:t>三、支</w:t>
      </w:r>
      <w:r>
        <w:rPr>
          <w:rFonts w:hint="eastAsia" w:ascii="仿宋_GB2312" w:hAnsi="仿宋_GB2312" w:eastAsia="仿宋_GB2312" w:cs="仿宋_GB2312"/>
          <w:sz w:val="32"/>
          <w:szCs w:val="32"/>
        </w:rPr>
        <w:t>出决算情况说明</w:t>
      </w:r>
      <w:bookmarkEnd w:id="25"/>
      <w:bookmarkEnd w:id="26"/>
      <w:bookmarkEnd w:id="27"/>
    </w:p>
    <w:p w14:paraId="3593B3F9">
      <w:pPr>
        <w:spacing w:line="600" w:lineRule="exact"/>
        <w:ind w:firstLine="420" w:firstLineChars="200"/>
        <w:outlineLvl w:val="1"/>
        <w:rPr>
          <w:rFonts w:hint="eastAsia" w:ascii="仿宋_GB2312" w:hAnsi="仿宋_GB2312" w:eastAsia="仿宋_GB2312" w:cs="仿宋_GB2312"/>
          <w:sz w:val="32"/>
          <w:szCs w:val="32"/>
        </w:rPr>
      </w:pPr>
      <w:bookmarkStart w:id="28" w:name="_Toc10139"/>
      <w:r>
        <w:drawing>
          <wp:anchor distT="0" distB="0" distL="114300" distR="114300" simplePos="0" relativeHeight="251662336" behindDoc="0" locked="0" layoutInCell="1" allowOverlap="1">
            <wp:simplePos x="0" y="0"/>
            <wp:positionH relativeFrom="column">
              <wp:posOffset>152400</wp:posOffset>
            </wp:positionH>
            <wp:positionV relativeFrom="paragraph">
              <wp:posOffset>958850</wp:posOffset>
            </wp:positionV>
            <wp:extent cx="5035550" cy="3009900"/>
            <wp:effectExtent l="0" t="0" r="12700" b="0"/>
            <wp:wrapTopAndBottom/>
            <wp:docPr id="68073312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sz w:val="32"/>
          <w:szCs w:val="32"/>
        </w:rPr>
        <w:t>2023年度本年支出合计931.4万元，其中：基本支出708.25万元，占76.04%；项目支出223.15万元，占23.96%。</w:t>
      </w:r>
      <w:bookmarkEnd w:id="28"/>
    </w:p>
    <w:p w14:paraId="6748C3CD">
      <w:pPr>
        <w:spacing w:line="600" w:lineRule="exact"/>
        <w:ind w:firstLine="640"/>
        <w:rPr>
          <w:rFonts w:ascii="仿宋" w:hAnsi="仿宋" w:eastAsia="仿宋"/>
          <w:sz w:val="32"/>
          <w:szCs w:val="32"/>
          <w:shd w:val="pct10" w:color="auto" w:fill="FFFFFF"/>
        </w:rPr>
      </w:pPr>
    </w:p>
    <w:p w14:paraId="2F973B3D">
      <w:pPr>
        <w:spacing w:line="60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（图3：支出决算结构图）（饼状图）</w:t>
      </w:r>
    </w:p>
    <w:p w14:paraId="74481F25">
      <w:pPr>
        <w:spacing w:line="600" w:lineRule="exact"/>
        <w:ind w:firstLine="640" w:firstLineChars="200"/>
        <w:jc w:val="center"/>
        <w:rPr>
          <w:rFonts w:hint="eastAsia" w:ascii="仿宋_GB2312" w:hAnsi="仿宋_GB2312" w:eastAsia="仿宋_GB2312" w:cs="仿宋_GB2312"/>
          <w:sz w:val="32"/>
          <w:szCs w:val="32"/>
        </w:rPr>
      </w:pPr>
    </w:p>
    <w:p w14:paraId="523D3AA8">
      <w:pPr>
        <w:spacing w:line="600" w:lineRule="exact"/>
        <w:ind w:firstLine="640" w:firstLineChars="200"/>
        <w:outlineLvl w:val="1"/>
        <w:rPr>
          <w:rStyle w:val="21"/>
          <w:rFonts w:ascii="黑体" w:hAnsi="黑体" w:eastAsia="黑体"/>
          <w:b w:val="0"/>
        </w:rPr>
      </w:pPr>
      <w:bookmarkStart w:id="29" w:name="_Toc28260"/>
      <w:bookmarkStart w:id="30" w:name="_Toc15377208"/>
      <w:bookmarkStart w:id="31" w:name="_Toc15396606"/>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29"/>
      <w:bookmarkEnd w:id="30"/>
      <w:bookmarkEnd w:id="31"/>
    </w:p>
    <w:p w14:paraId="4A979DB3">
      <w:pPr>
        <w:spacing w:line="600" w:lineRule="exact"/>
        <w:ind w:firstLine="640"/>
        <w:rPr>
          <w:rFonts w:hint="eastAsia" w:ascii="仿宋" w:hAnsi="仿宋" w:eastAsia="仿宋_GB2312"/>
          <w:sz w:val="32"/>
          <w:szCs w:val="32"/>
          <w:lang w:eastAsia="zh-CN"/>
        </w:rPr>
      </w:pPr>
      <w:r>
        <w:drawing>
          <wp:anchor distT="0" distB="0" distL="114300" distR="114300" simplePos="0" relativeHeight="251663360" behindDoc="1" locked="0" layoutInCell="1" allowOverlap="1">
            <wp:simplePos x="0" y="0"/>
            <wp:positionH relativeFrom="column">
              <wp:posOffset>88900</wp:posOffset>
            </wp:positionH>
            <wp:positionV relativeFrom="paragraph">
              <wp:posOffset>1498600</wp:posOffset>
            </wp:positionV>
            <wp:extent cx="5168900" cy="3168650"/>
            <wp:effectExtent l="0" t="0" r="12700" b="12700"/>
            <wp:wrapTopAndBottom/>
            <wp:docPr id="92008782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hAnsi="仿宋_GB2312" w:eastAsia="仿宋_GB2312" w:cs="仿宋_GB2312"/>
          <w:sz w:val="32"/>
          <w:szCs w:val="32"/>
        </w:rPr>
        <w:t>2023年度财政拨款收、支总计均为767.89万元。与2022年度相比，财政拨款收、支总计各增长60.89万元，增长8.61%。主要变动原因是</w:t>
      </w:r>
      <w:r>
        <w:rPr>
          <w:rFonts w:hint="eastAsia" w:ascii="仿宋_GB2312" w:hAnsi="仿宋_GB2312" w:eastAsia="仿宋_GB2312" w:cs="仿宋_GB2312"/>
          <w:sz w:val="32"/>
          <w:szCs w:val="32"/>
          <w:lang w:eastAsia="zh-CN"/>
        </w:rPr>
        <w:t>人员经费增加。</w:t>
      </w:r>
    </w:p>
    <w:p w14:paraId="0AA31191">
      <w:pPr>
        <w:spacing w:line="600" w:lineRule="exact"/>
        <w:ind w:firstLine="1280" w:firstLineChars="400"/>
        <w:rPr>
          <w:rFonts w:hint="eastAsia" w:ascii="仿宋" w:hAnsi="仿宋" w:eastAsia="仿宋"/>
          <w:sz w:val="32"/>
          <w:szCs w:val="32"/>
        </w:rPr>
      </w:pPr>
      <w:r>
        <w:rPr>
          <w:rFonts w:hint="eastAsia" w:ascii="仿宋" w:hAnsi="仿宋" w:eastAsia="仿宋"/>
          <w:sz w:val="32"/>
          <w:szCs w:val="32"/>
        </w:rPr>
        <w:t>（图4：财政拨款收、支决算总计变动情况）</w:t>
      </w:r>
    </w:p>
    <w:p w14:paraId="7FF3E8EC">
      <w:pPr>
        <w:spacing w:line="600" w:lineRule="exact"/>
        <w:ind w:firstLine="640" w:firstLineChars="200"/>
        <w:outlineLvl w:val="1"/>
        <w:rPr>
          <w:rFonts w:ascii="黑体" w:hAnsi="黑体" w:eastAsia="黑体"/>
          <w:sz w:val="32"/>
          <w:szCs w:val="32"/>
        </w:rPr>
      </w:pPr>
      <w:bookmarkStart w:id="32" w:name="_Toc15396607"/>
      <w:bookmarkStart w:id="33" w:name="_Toc15377209"/>
    </w:p>
    <w:p w14:paraId="36528998">
      <w:pPr>
        <w:spacing w:line="600" w:lineRule="exact"/>
        <w:ind w:firstLine="640" w:firstLineChars="200"/>
        <w:outlineLvl w:val="1"/>
        <w:rPr>
          <w:rStyle w:val="21"/>
          <w:rFonts w:ascii="黑体" w:hAnsi="黑体" w:eastAsia="黑体"/>
          <w:b w:val="0"/>
        </w:rPr>
      </w:pPr>
      <w:bookmarkStart w:id="34" w:name="_Toc21675"/>
      <w:r>
        <w:rPr>
          <w:rFonts w:hint="eastAsia" w:ascii="黑体" w:hAnsi="黑体" w:eastAsia="黑体"/>
          <w:sz w:val="32"/>
          <w:szCs w:val="32"/>
        </w:rPr>
        <w:t>五、</w:t>
      </w:r>
      <w:r>
        <w:rPr>
          <w:rFonts w:hint="eastAsia" w:ascii="黑体" w:hAnsi="黑体" w:eastAsia="黑体"/>
          <w:b/>
          <w:sz w:val="32"/>
          <w:szCs w:val="32"/>
        </w:rPr>
        <w:t>一</w:t>
      </w:r>
      <w:r>
        <w:rPr>
          <w:rStyle w:val="21"/>
          <w:rFonts w:hint="eastAsia" w:ascii="黑体" w:hAnsi="黑体" w:eastAsia="黑体"/>
          <w:b w:val="0"/>
        </w:rPr>
        <w:t>般公共预算财政拨款支出决算情况说明</w:t>
      </w:r>
      <w:bookmarkEnd w:id="32"/>
      <w:bookmarkEnd w:id="33"/>
      <w:bookmarkEnd w:id="34"/>
    </w:p>
    <w:p w14:paraId="116740FF">
      <w:pPr>
        <w:spacing w:line="600" w:lineRule="exact"/>
        <w:ind w:firstLine="643" w:firstLineChars="200"/>
        <w:outlineLvl w:val="2"/>
        <w:rPr>
          <w:rFonts w:hint="eastAsia" w:ascii="仿宋_GB2312" w:hAnsi="仿宋_GB2312" w:eastAsia="仿宋_GB2312" w:cs="仿宋_GB2312"/>
          <w:b/>
          <w:sz w:val="32"/>
          <w:szCs w:val="32"/>
        </w:rPr>
      </w:pPr>
      <w:bookmarkStart w:id="35" w:name="_Toc23143"/>
      <w:bookmarkStart w:id="36" w:name="_Toc15377210"/>
      <w:r>
        <w:rPr>
          <w:rFonts w:hint="eastAsia" w:ascii="仿宋_GB2312" w:hAnsi="仿宋_GB2312" w:eastAsia="仿宋_GB2312" w:cs="仿宋_GB2312"/>
          <w:b/>
          <w:sz w:val="32"/>
          <w:szCs w:val="32"/>
        </w:rPr>
        <w:t>（一）一般公共预算财政拨款支出决算总体情况</w:t>
      </w:r>
      <w:bookmarkEnd w:id="35"/>
      <w:bookmarkEnd w:id="36"/>
    </w:p>
    <w:p w14:paraId="2B243F9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2023年度一般公共预算财政拨款支出767.89万元，占本年支出合计的82.44%。与2022年度相比，一般公共预算财政拨款支出增加60.89万元，增长8.61%。主要变动原因是</w:t>
      </w:r>
      <w:r>
        <w:rPr>
          <w:rFonts w:hint="eastAsia" w:ascii="仿宋_GB2312" w:hAnsi="仿宋_GB2312" w:eastAsia="仿宋_GB2312" w:cs="仿宋_GB2312"/>
          <w:sz w:val="32"/>
          <w:szCs w:val="32"/>
          <w:lang w:eastAsia="zh-CN"/>
        </w:rPr>
        <w:t>人员经费增加</w:t>
      </w:r>
      <w:r>
        <w:rPr>
          <w:rFonts w:ascii="仿宋_GB2312" w:hAnsi="仿宋_GB2312" w:eastAsia="仿宋_GB2312" w:cs="仿宋_GB2312"/>
          <w:sz w:val="32"/>
          <w:szCs w:val="32"/>
        </w:rPr>
        <w:t>。</w:t>
      </w:r>
    </w:p>
    <w:p w14:paraId="31311059">
      <w:pPr>
        <w:pStyle w:val="5"/>
        <w:rPr>
          <w:rFonts w:hint="eastAsia"/>
        </w:rPr>
      </w:pPr>
      <w:r>
        <w:drawing>
          <wp:anchor distT="0" distB="0" distL="114300" distR="114300" simplePos="0" relativeHeight="251664384" behindDoc="0" locked="0" layoutInCell="1" allowOverlap="1">
            <wp:simplePos x="0" y="0"/>
            <wp:positionH relativeFrom="column">
              <wp:posOffset>323850</wp:posOffset>
            </wp:positionH>
            <wp:positionV relativeFrom="paragraph">
              <wp:posOffset>76200</wp:posOffset>
            </wp:positionV>
            <wp:extent cx="4991100" cy="2774950"/>
            <wp:effectExtent l="0" t="0" r="0" b="6350"/>
            <wp:wrapTopAndBottom/>
            <wp:docPr id="32937122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ED4E71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w:t>
      </w:r>
    </w:p>
    <w:p w14:paraId="138B8436">
      <w:pPr>
        <w:spacing w:line="600" w:lineRule="exact"/>
        <w:ind w:firstLine="643" w:firstLineChars="200"/>
        <w:outlineLvl w:val="2"/>
        <w:rPr>
          <w:rFonts w:hint="eastAsia" w:ascii="仿宋_GB2312" w:hAnsi="仿宋_GB2312" w:eastAsia="仿宋_GB2312" w:cs="仿宋_GB2312"/>
          <w:b/>
          <w:sz w:val="32"/>
          <w:szCs w:val="32"/>
        </w:rPr>
      </w:pPr>
      <w:bookmarkStart w:id="37" w:name="_Toc15377211"/>
      <w:bookmarkStart w:id="38" w:name="_Toc9773"/>
      <w:r>
        <w:rPr>
          <w:rFonts w:hint="eastAsia" w:ascii="仿宋_GB2312" w:hAnsi="仿宋_GB2312" w:eastAsia="仿宋_GB2312" w:cs="仿宋_GB2312"/>
          <w:b/>
          <w:sz w:val="32"/>
          <w:szCs w:val="32"/>
        </w:rPr>
        <w:t>（二）一般公共预算财政拨款支出决算结构情况</w:t>
      </w:r>
      <w:bookmarkEnd w:id="37"/>
      <w:bookmarkEnd w:id="38"/>
    </w:p>
    <w:p w14:paraId="621107CD">
      <w:pPr>
        <w:spacing w:line="600" w:lineRule="exact"/>
        <w:ind w:firstLine="640"/>
        <w:rPr>
          <w:rFonts w:hint="eastAsia" w:ascii="仿宋_GB2312" w:hAnsi="仿宋_GB2312" w:eastAsia="仿宋_GB2312" w:cs="仿宋_GB2312"/>
          <w:sz w:val="32"/>
          <w:szCs w:val="32"/>
        </w:rPr>
      </w:pPr>
      <w:r>
        <w:t xml:space="preserve"> </w:t>
      </w:r>
      <w:r>
        <w:rPr>
          <w:rFonts w:hint="eastAsia" w:ascii="仿宋_GB2312" w:hAnsi="仿宋_GB2312" w:eastAsia="仿宋_GB2312" w:cs="仿宋_GB2312"/>
          <w:sz w:val="32"/>
          <w:szCs w:val="32"/>
        </w:rPr>
        <w:t>2023年度一般公共预算财政拨款支出767.89万元，主要用于以下方面:</w:t>
      </w:r>
      <w:r>
        <w:rPr>
          <w:rFonts w:hint="eastAsia" w:ascii="仿宋_GB2312" w:hAnsi="仿宋_GB2312" w:eastAsia="仿宋_GB2312" w:cs="仿宋_GB2312"/>
          <w:b/>
          <w:sz w:val="32"/>
          <w:szCs w:val="32"/>
        </w:rPr>
        <w:t>公共安全</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rPr>
        <w:t>682.8万元，占88.92%；</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7.72</w:t>
      </w:r>
      <w:r>
        <w:rPr>
          <w:rFonts w:hint="eastAsia" w:ascii="仿宋_GB2312" w:hAnsi="仿宋_GB2312" w:eastAsia="仿宋_GB2312" w:cs="仿宋_GB2312"/>
          <w:sz w:val="32"/>
          <w:szCs w:val="32"/>
        </w:rPr>
        <w:t>万元，占4.</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卫生健康支出</w:t>
      </w:r>
      <w:r>
        <w:rPr>
          <w:rFonts w:hint="eastAsia" w:ascii="仿宋_GB2312" w:hAnsi="仿宋_GB2312" w:eastAsia="仿宋_GB2312" w:cs="仿宋_GB2312"/>
          <w:sz w:val="32"/>
          <w:szCs w:val="32"/>
        </w:rPr>
        <w:t>18.11万元，占2.36%；</w:t>
      </w:r>
      <w:r>
        <w:rPr>
          <w:rFonts w:hint="eastAsia" w:ascii="仿宋_GB2312" w:hAnsi="仿宋_GB2312" w:eastAsia="仿宋_GB2312" w:cs="仿宋_GB2312"/>
          <w:b/>
          <w:bCs/>
          <w:sz w:val="32"/>
          <w:szCs w:val="32"/>
        </w:rPr>
        <w:t>住房保障支出</w:t>
      </w:r>
      <w:r>
        <w:rPr>
          <w:rFonts w:hint="eastAsia" w:ascii="仿宋_GB2312" w:hAnsi="仿宋_GB2312" w:eastAsia="仿宋_GB2312" w:cs="仿宋_GB2312"/>
          <w:sz w:val="32"/>
          <w:szCs w:val="32"/>
        </w:rPr>
        <w:t>29.27万元，占3.81%。</w:t>
      </w:r>
    </w:p>
    <w:p w14:paraId="3237ACED">
      <w:pPr>
        <w:spacing w:line="600" w:lineRule="exact"/>
        <w:jc w:val="center"/>
        <w:rPr>
          <w:rFonts w:hint="eastAsia" w:ascii="仿宋_GB2312" w:hAnsi="仿宋_GB2312" w:eastAsia="仿宋_GB2312" w:cs="仿宋_GB2312"/>
          <w:sz w:val="32"/>
          <w:szCs w:val="32"/>
        </w:rPr>
      </w:pPr>
      <w:r>
        <w:drawing>
          <wp:anchor distT="0" distB="0" distL="114300" distR="114300" simplePos="0" relativeHeight="251665408" behindDoc="0" locked="0" layoutInCell="1" allowOverlap="1">
            <wp:simplePos x="0" y="0"/>
            <wp:positionH relativeFrom="column">
              <wp:posOffset>-82550</wp:posOffset>
            </wp:positionH>
            <wp:positionV relativeFrom="paragraph">
              <wp:posOffset>33655</wp:posOffset>
            </wp:positionV>
            <wp:extent cx="5514340" cy="2752090"/>
            <wp:effectExtent l="4445" t="4445" r="5715" b="5715"/>
            <wp:wrapTopAndBottom/>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rPr>
        <w:t>（图6：一般公共预算财政拨款支出决算结构）</w:t>
      </w:r>
    </w:p>
    <w:p w14:paraId="2EC045AF">
      <w:pPr>
        <w:spacing w:line="600" w:lineRule="exact"/>
        <w:ind w:firstLine="643" w:firstLineChars="200"/>
        <w:outlineLvl w:val="2"/>
        <w:rPr>
          <w:rFonts w:hint="eastAsia" w:ascii="仿宋_GB2312" w:hAnsi="仿宋_GB2312" w:eastAsia="仿宋_GB2312" w:cs="仿宋_GB2312"/>
          <w:b/>
          <w:sz w:val="32"/>
          <w:szCs w:val="32"/>
        </w:rPr>
      </w:pPr>
      <w:bookmarkStart w:id="39" w:name="_Toc15377212"/>
      <w:bookmarkStart w:id="40" w:name="_Toc22493"/>
      <w:r>
        <w:rPr>
          <w:rFonts w:hint="eastAsia" w:ascii="仿宋_GB2312" w:hAnsi="仿宋_GB2312" w:eastAsia="仿宋_GB2312" w:cs="仿宋_GB2312"/>
          <w:b/>
          <w:sz w:val="32"/>
          <w:szCs w:val="32"/>
        </w:rPr>
        <w:t>（三）一般公共预算财政拨款支出决算具体情况</w:t>
      </w:r>
      <w:bookmarkEnd w:id="39"/>
      <w:bookmarkEnd w:id="40"/>
    </w:p>
    <w:p w14:paraId="6994D283">
      <w:pPr>
        <w:spacing w:line="600" w:lineRule="exact"/>
        <w:ind w:firstLine="643" w:firstLineChars="200"/>
        <w:outlineLvl w:val="2"/>
        <w:rPr>
          <w:rFonts w:hint="eastAsia" w:ascii="仿宋_GB2312" w:hAnsi="仿宋_GB2312" w:eastAsia="仿宋_GB2312" w:cs="仿宋_GB2312"/>
          <w:sz w:val="32"/>
          <w:szCs w:val="32"/>
        </w:rPr>
      </w:pPr>
      <w:bookmarkStart w:id="41" w:name="_Toc15377213"/>
      <w:bookmarkStart w:id="42" w:name="_Toc16377"/>
      <w:bookmarkStart w:id="43" w:name="_Toc15377444"/>
      <w:bookmarkStart w:id="44" w:name="_Toc15378460"/>
      <w:r>
        <w:rPr>
          <w:rFonts w:hint="eastAsia" w:ascii="仿宋_GB2312" w:hAnsi="仿宋_GB2312" w:eastAsia="仿宋_GB2312" w:cs="仿宋_GB2312"/>
          <w:b/>
          <w:sz w:val="32"/>
          <w:szCs w:val="32"/>
        </w:rPr>
        <w:t>2023年度一般公共预算支出决算数为767.89万元</w:t>
      </w:r>
      <w:r>
        <w:rPr>
          <w:rFonts w:hint="eastAsia" w:ascii="仿宋_GB2312" w:hAnsi="仿宋_GB2312" w:eastAsia="仿宋_GB2312" w:cs="仿宋_GB2312"/>
          <w:sz w:val="32"/>
          <w:szCs w:val="32"/>
        </w:rPr>
        <w:t>，</w:t>
      </w:r>
      <w:r>
        <w:rPr>
          <w:rStyle w:val="18"/>
          <w:rFonts w:hint="eastAsia" w:ascii="仿宋_GB2312" w:hAnsi="仿宋_GB2312" w:eastAsia="仿宋_GB2312" w:cs="仿宋_GB2312"/>
          <w:bCs/>
          <w:sz w:val="32"/>
          <w:szCs w:val="32"/>
        </w:rPr>
        <w:t>完成预算100%。其中：</w:t>
      </w:r>
      <w:bookmarkEnd w:id="41"/>
      <w:bookmarkEnd w:id="42"/>
      <w:bookmarkEnd w:id="43"/>
      <w:bookmarkEnd w:id="44"/>
    </w:p>
    <w:p w14:paraId="3D91D3CB">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1</w:t>
      </w:r>
      <w:r>
        <w:rPr>
          <w:rStyle w:val="18"/>
          <w:rFonts w:hint="eastAsia" w:ascii="仿宋_GB2312" w:hAnsi="仿宋_GB2312" w:eastAsia="仿宋_GB2312" w:cs="仿宋_GB2312"/>
          <w:b w:val="0"/>
          <w:bCs/>
          <w:sz w:val="32"/>
          <w:szCs w:val="32"/>
        </w:rPr>
        <w:t>.</w:t>
      </w:r>
      <w:r>
        <w:rPr>
          <w:rStyle w:val="18"/>
          <w:rFonts w:hint="eastAsia" w:ascii="仿宋_GB2312" w:hAnsi="仿宋_GB2312" w:eastAsia="仿宋_GB2312" w:cs="仿宋_GB2312"/>
          <w:bCs/>
          <w:sz w:val="32"/>
          <w:szCs w:val="32"/>
        </w:rPr>
        <w:t>公共安全（类）检察（款）行政运行（项）:</w:t>
      </w:r>
      <w:r>
        <w:rPr>
          <w:rStyle w:val="18"/>
          <w:rFonts w:hint="eastAsia" w:ascii="仿宋_GB2312" w:hAnsi="仿宋_GB2312" w:eastAsia="仿宋_GB2312" w:cs="仿宋_GB2312"/>
          <w:b w:val="0"/>
          <w:bCs/>
          <w:sz w:val="32"/>
          <w:szCs w:val="32"/>
        </w:rPr>
        <w:t xml:space="preserve"> 支出决算为447.07万元，完成预算100%。</w:t>
      </w:r>
    </w:p>
    <w:p w14:paraId="63BED29D">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2. 公共安全（类）检察（款）一般行政管理事务（项）:</w:t>
      </w:r>
      <w:r>
        <w:rPr>
          <w:rStyle w:val="18"/>
          <w:rFonts w:hint="eastAsia" w:ascii="仿宋_GB2312" w:hAnsi="仿宋_GB2312" w:eastAsia="仿宋_GB2312" w:cs="仿宋_GB2312"/>
          <w:b w:val="0"/>
          <w:bCs/>
          <w:sz w:val="32"/>
          <w:szCs w:val="32"/>
        </w:rPr>
        <w:t xml:space="preserve"> 支出决算为30万元，完成预算100%。</w:t>
      </w:r>
    </w:p>
    <w:p w14:paraId="1F017405">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3. 公共安全（类）检察（款）检察监督（项）:</w:t>
      </w:r>
      <w:r>
        <w:rPr>
          <w:rStyle w:val="18"/>
          <w:rFonts w:hint="eastAsia" w:ascii="仿宋_GB2312" w:hAnsi="仿宋_GB2312" w:eastAsia="仿宋_GB2312" w:cs="仿宋_GB2312"/>
          <w:b w:val="0"/>
          <w:bCs/>
          <w:sz w:val="32"/>
          <w:szCs w:val="32"/>
        </w:rPr>
        <w:t xml:space="preserve"> 支出决算为37万元，完成预算100%。</w:t>
      </w:r>
    </w:p>
    <w:p w14:paraId="2EA66B1A">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4. 公共安全（类）检察（款）事业运行（项）:</w:t>
      </w:r>
      <w:r>
        <w:rPr>
          <w:rStyle w:val="18"/>
          <w:rFonts w:hint="eastAsia" w:ascii="仿宋_GB2312" w:hAnsi="仿宋_GB2312" w:eastAsia="仿宋_GB2312" w:cs="仿宋_GB2312"/>
          <w:b w:val="0"/>
          <w:bCs/>
          <w:sz w:val="32"/>
          <w:szCs w:val="32"/>
        </w:rPr>
        <w:t xml:space="preserve"> 支出决算为20.15万元，完成预算100%。</w:t>
      </w:r>
    </w:p>
    <w:p w14:paraId="764ECACE">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5. 公共安全（类）检察（款）其他检察支出（项）:</w:t>
      </w:r>
      <w:r>
        <w:rPr>
          <w:rStyle w:val="18"/>
          <w:rFonts w:hint="eastAsia" w:ascii="仿宋_GB2312" w:hAnsi="仿宋_GB2312" w:eastAsia="仿宋_GB2312" w:cs="仿宋_GB2312"/>
          <w:b w:val="0"/>
          <w:bCs/>
          <w:sz w:val="32"/>
          <w:szCs w:val="32"/>
        </w:rPr>
        <w:t xml:space="preserve"> 支出决算为148.59万元，完成预算100%。</w:t>
      </w:r>
    </w:p>
    <w:p w14:paraId="788B7142">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6.社会保障和就业（类）行政事业单位养老（款） 机关事业单位基本养老保险缴费（项）:</w:t>
      </w:r>
      <w:r>
        <w:rPr>
          <w:rStyle w:val="18"/>
          <w:rFonts w:hint="eastAsia" w:ascii="仿宋_GB2312" w:hAnsi="仿宋_GB2312" w:eastAsia="仿宋_GB2312" w:cs="仿宋_GB2312"/>
          <w:b w:val="0"/>
          <w:bCs/>
          <w:sz w:val="32"/>
          <w:szCs w:val="32"/>
        </w:rPr>
        <w:t xml:space="preserve"> 支出决算为36万元，完成预算100%。</w:t>
      </w:r>
    </w:p>
    <w:p w14:paraId="3B9D9462">
      <w:pPr>
        <w:spacing w:line="600" w:lineRule="exact"/>
        <w:ind w:firstLine="640"/>
        <w:rPr>
          <w:rFonts w:hint="eastAsia" w:ascii="仿宋_GB2312" w:hAnsi="仿宋_GB2312" w:eastAsia="仿宋_GB2312" w:cs="仿宋_GB2312"/>
          <w:bCs/>
          <w:sz w:val="32"/>
          <w:szCs w:val="32"/>
        </w:rPr>
      </w:pPr>
      <w:r>
        <w:rPr>
          <w:rStyle w:val="18"/>
          <w:rFonts w:hint="eastAsia" w:ascii="仿宋_GB2312" w:hAnsi="仿宋_GB2312" w:eastAsia="仿宋_GB2312" w:cs="仿宋_GB2312"/>
          <w:bCs/>
          <w:sz w:val="32"/>
          <w:szCs w:val="32"/>
        </w:rPr>
        <w:t>7. 社会保障和就业（类）其他社会保障和就业（款） 其他社会保障和就业（项）:</w:t>
      </w:r>
      <w:r>
        <w:rPr>
          <w:rStyle w:val="18"/>
          <w:rFonts w:hint="eastAsia" w:ascii="仿宋_GB2312" w:hAnsi="仿宋_GB2312" w:eastAsia="仿宋_GB2312" w:cs="仿宋_GB2312"/>
          <w:b w:val="0"/>
          <w:bCs/>
          <w:sz w:val="32"/>
          <w:szCs w:val="32"/>
        </w:rPr>
        <w:t xml:space="preserve"> 支出决算为1.72万元，完成预算100%。</w:t>
      </w:r>
    </w:p>
    <w:p w14:paraId="3B07C4E4">
      <w:pPr>
        <w:spacing w:line="600" w:lineRule="exact"/>
        <w:ind w:firstLine="643" w:firstLineChars="200"/>
        <w:rPr>
          <w:rFonts w:hint="eastAsia" w:ascii="仿宋_GB2312" w:hAnsi="仿宋_GB2312" w:eastAsia="仿宋_GB2312" w:cs="仿宋_GB2312"/>
          <w:b/>
          <w:sz w:val="32"/>
          <w:szCs w:val="32"/>
        </w:rPr>
      </w:pPr>
      <w:r>
        <w:rPr>
          <w:rStyle w:val="18"/>
          <w:rFonts w:hint="eastAsia" w:ascii="仿宋_GB2312" w:hAnsi="仿宋_GB2312" w:eastAsia="仿宋_GB2312" w:cs="仿宋_GB2312"/>
          <w:bCs/>
          <w:sz w:val="32"/>
          <w:szCs w:val="32"/>
        </w:rPr>
        <w:t>8.</w:t>
      </w:r>
      <w:r>
        <w:rPr>
          <w:rFonts w:hint="eastAsia" w:ascii="Microsoft JhengHei" w:eastAsia="Microsoft JhengHei"/>
          <w:b/>
          <w:w w:val="95"/>
          <w:sz w:val="32"/>
        </w:rPr>
        <w:t xml:space="preserve"> </w:t>
      </w:r>
      <w:r>
        <w:rPr>
          <w:rFonts w:hint="eastAsia" w:ascii="仿宋_GB2312" w:hAnsi="仿宋_GB2312" w:eastAsia="仿宋_GB2312" w:cs="仿宋_GB2312"/>
          <w:b/>
          <w:bCs/>
          <w:sz w:val="32"/>
          <w:szCs w:val="32"/>
        </w:rPr>
        <w:t>卫生健康（类）行政事业单位医疗（款）行政单位医疗（项）：</w:t>
      </w:r>
      <w:r>
        <w:rPr>
          <w:rStyle w:val="18"/>
          <w:rFonts w:hint="eastAsia" w:ascii="仿宋_GB2312" w:hAnsi="仿宋_GB2312" w:eastAsia="仿宋_GB2312" w:cs="仿宋_GB2312"/>
          <w:b w:val="0"/>
          <w:bCs/>
          <w:sz w:val="32"/>
          <w:szCs w:val="32"/>
        </w:rPr>
        <w:t>支出决算为18.11万元，完成预算100%。</w:t>
      </w:r>
    </w:p>
    <w:p w14:paraId="6889E68F">
      <w:pPr>
        <w:tabs>
          <w:tab w:val="left" w:pos="1001"/>
        </w:tabs>
        <w:suppressAutoHyphens w:val="0"/>
        <w:autoSpaceDE w:val="0"/>
        <w:autoSpaceDN w:val="0"/>
        <w:spacing w:line="288" w:lineRule="auto"/>
        <w:ind w:right="420" w:firstLine="640" w:firstLineChars="200"/>
        <w:rPr>
          <w:rStyle w:val="18"/>
          <w:rFonts w:ascii="仿宋_GB2312" w:hAnsi="仿宋_GB2312" w:eastAsia="仿宋_GB2312" w:cs="仿宋_GB2312"/>
          <w:b w:val="0"/>
          <w:bCs/>
          <w:sz w:val="32"/>
          <w:szCs w:val="32"/>
        </w:rPr>
      </w:pPr>
      <w:r>
        <w:rPr>
          <w:rFonts w:hint="eastAsia" w:ascii="仿宋_GB2312" w:hAnsi="仿宋_GB2312" w:eastAsia="仿宋_GB2312" w:cs="仿宋_GB2312"/>
          <w:sz w:val="32"/>
          <w:szCs w:val="32"/>
        </w:rPr>
        <w:t>9.</w:t>
      </w:r>
      <w:r>
        <w:rPr>
          <w:rFonts w:hint="eastAsia" w:ascii="Microsoft JhengHei" w:eastAsia="Microsoft JhengHei"/>
          <w:b/>
          <w:w w:val="95"/>
          <w:sz w:val="32"/>
        </w:rPr>
        <w:t xml:space="preserve"> </w:t>
      </w:r>
      <w:r>
        <w:rPr>
          <w:rFonts w:hint="eastAsia" w:ascii="仿宋_GB2312" w:hAnsi="仿宋_GB2312" w:eastAsia="仿宋_GB2312" w:cs="仿宋_GB2312"/>
          <w:b/>
          <w:bCs/>
          <w:sz w:val="32"/>
          <w:szCs w:val="32"/>
        </w:rPr>
        <w:t xml:space="preserve">住房保障（类）住房改革（款）住房公积金（项）： </w:t>
      </w:r>
      <w:r>
        <w:rPr>
          <w:rStyle w:val="18"/>
          <w:rFonts w:ascii="仿宋_GB2312" w:hAnsi="仿宋_GB2312" w:eastAsia="仿宋_GB2312" w:cs="仿宋_GB2312"/>
          <w:b w:val="0"/>
          <w:bCs/>
          <w:sz w:val="32"/>
          <w:szCs w:val="32"/>
        </w:rPr>
        <w:t xml:space="preserve">支出决算为 </w:t>
      </w:r>
      <w:r>
        <w:rPr>
          <w:rStyle w:val="18"/>
          <w:rFonts w:hint="eastAsia" w:ascii="仿宋_GB2312" w:hAnsi="仿宋_GB2312" w:eastAsia="仿宋_GB2312" w:cs="仿宋_GB2312"/>
          <w:b w:val="0"/>
          <w:bCs/>
          <w:sz w:val="32"/>
          <w:szCs w:val="32"/>
        </w:rPr>
        <w:t>29.27</w:t>
      </w:r>
      <w:r>
        <w:rPr>
          <w:rStyle w:val="18"/>
          <w:rFonts w:ascii="仿宋_GB2312" w:hAnsi="仿宋_GB2312" w:eastAsia="仿宋_GB2312" w:cs="仿宋_GB2312"/>
          <w:b w:val="0"/>
          <w:bCs/>
          <w:sz w:val="32"/>
          <w:szCs w:val="32"/>
        </w:rPr>
        <w:t>万元，完成预算 100%。</w:t>
      </w:r>
    </w:p>
    <w:p w14:paraId="1F09B01E">
      <w:pPr>
        <w:tabs>
          <w:tab w:val="right" w:pos="8306"/>
        </w:tabs>
        <w:spacing w:line="600" w:lineRule="exact"/>
        <w:ind w:firstLine="640"/>
        <w:outlineLvl w:val="1"/>
        <w:rPr>
          <w:rStyle w:val="21"/>
        </w:rPr>
      </w:pPr>
      <w:bookmarkStart w:id="45" w:name="_Toc15396608"/>
      <w:bookmarkStart w:id="46" w:name="_Toc7055"/>
      <w:bookmarkStart w:id="47"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1"/>
          <w:rFonts w:hint="eastAsia" w:ascii="黑体" w:hAnsi="黑体" w:eastAsia="黑体"/>
          <w:b w:val="0"/>
        </w:rPr>
        <w:t>般公共预算财政拨款基本支出决算情况说明</w:t>
      </w:r>
      <w:bookmarkEnd w:id="45"/>
      <w:bookmarkEnd w:id="46"/>
      <w:bookmarkEnd w:id="47"/>
      <w:r>
        <w:rPr>
          <w:rStyle w:val="21"/>
          <w:rFonts w:ascii="黑体" w:hAnsi="黑体" w:eastAsia="黑体"/>
          <w:b w:val="0"/>
        </w:rPr>
        <w:tab/>
      </w:r>
    </w:p>
    <w:p w14:paraId="177151BC">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2023年度一般公共预算财政拨款基本支出552.3万元，其中：</w:t>
      </w:r>
    </w:p>
    <w:p w14:paraId="5D117280">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人员经费428.0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万元，主要包括：基本工资、津贴补贴、奖金、绩效工资、机关事业单位基本养老保险缴费、职工基本医疗保险缴费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其他社会保障缴费、住房公积金、其他工资福利支出。</w:t>
      </w:r>
    </w:p>
    <w:p w14:paraId="57AE64DB">
      <w:pPr>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公用经费</w:t>
      </w:r>
      <w:r>
        <w:rPr>
          <w:rFonts w:hint="eastAsia" w:ascii="仿宋_GB2312" w:hAnsi="仿宋_GB2312" w:eastAsia="仿宋_GB2312" w:cs="仿宋_GB2312"/>
          <w:sz w:val="32"/>
          <w:szCs w:val="32"/>
          <w:lang w:val="en-US" w:eastAsia="zh-CN"/>
        </w:rPr>
        <w:t>124.27</w:t>
      </w:r>
      <w:r>
        <w:rPr>
          <w:rFonts w:hint="eastAsia" w:ascii="仿宋_GB2312" w:hAnsi="仿宋_GB2312" w:eastAsia="仿宋_GB2312" w:cs="仿宋_GB2312"/>
          <w:sz w:val="32"/>
          <w:szCs w:val="32"/>
        </w:rPr>
        <w:t>万元，主要包括：办公费、印刷费、水费、电费、物业管理费、差旅费、维修（护）费、培训费、公务接待费、被装购置费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、办公设备购置</w:t>
      </w:r>
      <w:r>
        <w:rPr>
          <w:rFonts w:hint="eastAsia" w:ascii="仿宋_GB2312" w:hAnsi="仿宋_GB2312" w:eastAsia="仿宋_GB2312" w:cs="仿宋_GB2312"/>
          <w:sz w:val="32"/>
          <w:szCs w:val="32"/>
        </w:rPr>
        <w:t>。</w:t>
      </w:r>
    </w:p>
    <w:p w14:paraId="5AD23949">
      <w:pPr>
        <w:spacing w:line="600" w:lineRule="exact"/>
        <w:ind w:firstLine="640"/>
        <w:outlineLvl w:val="1"/>
        <w:rPr>
          <w:rStyle w:val="21"/>
          <w:rFonts w:ascii="黑体" w:hAnsi="黑体" w:eastAsia="黑体"/>
          <w:b w:val="0"/>
        </w:rPr>
      </w:pPr>
      <w:bookmarkStart w:id="48" w:name="_Toc27324"/>
      <w:bookmarkStart w:id="49" w:name="_Toc15377215"/>
      <w:bookmarkStart w:id="50" w:name="_Toc15396609"/>
      <w:r>
        <w:rPr>
          <w:rFonts w:hint="eastAsia" w:ascii="黑体" w:eastAsia="黑体"/>
          <w:sz w:val="32"/>
          <w:szCs w:val="32"/>
        </w:rPr>
        <w:t>七、</w:t>
      </w:r>
      <w:r>
        <w:rPr>
          <w:rStyle w:val="21"/>
          <w:rFonts w:hint="eastAsia" w:ascii="黑体" w:hAnsi="黑体" w:eastAsia="黑体"/>
          <w:b w:val="0"/>
        </w:rPr>
        <w:t>财政拨款</w:t>
      </w:r>
      <w:r>
        <w:rPr>
          <w:rStyle w:val="21"/>
          <w:rFonts w:hint="eastAsia" w:ascii="黑体" w:hAnsi="黑体" w:eastAsia="黑体"/>
        </w:rPr>
        <w:t>“</w:t>
      </w:r>
      <w:r>
        <w:rPr>
          <w:rStyle w:val="21"/>
          <w:rFonts w:hint="eastAsia" w:ascii="黑体" w:hAnsi="黑体" w:eastAsia="黑体"/>
          <w:b w:val="0"/>
        </w:rPr>
        <w:t>三公”经费支出决算情况说明</w:t>
      </w:r>
      <w:bookmarkEnd w:id="48"/>
      <w:bookmarkEnd w:id="49"/>
      <w:bookmarkEnd w:id="50"/>
    </w:p>
    <w:p w14:paraId="23302AEF">
      <w:pPr>
        <w:spacing w:line="600" w:lineRule="exact"/>
        <w:ind w:firstLine="640"/>
        <w:outlineLvl w:val="2"/>
        <w:rPr>
          <w:rFonts w:hint="eastAsia" w:ascii="仿宋_GB2312" w:hAnsi="仿宋_GB2312" w:eastAsia="仿宋_GB2312" w:cs="仿宋_GB2312"/>
          <w:b/>
          <w:sz w:val="32"/>
          <w:szCs w:val="32"/>
        </w:rPr>
      </w:pPr>
      <w:bookmarkStart w:id="51" w:name="_Toc15377216"/>
      <w:bookmarkStart w:id="52" w:name="_Toc15965"/>
      <w:r>
        <w:rPr>
          <w:rFonts w:hint="eastAsia" w:ascii="仿宋_GB2312" w:hAnsi="仿宋_GB2312" w:eastAsia="仿宋_GB2312" w:cs="仿宋_GB2312"/>
          <w:b/>
          <w:sz w:val="32"/>
          <w:szCs w:val="32"/>
        </w:rPr>
        <w:t>（一）“三公”经费财政拨款支出决算总体情况说明</w:t>
      </w:r>
      <w:bookmarkEnd w:id="51"/>
      <w:bookmarkEnd w:id="52"/>
    </w:p>
    <w:p w14:paraId="022CB0D1">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2023年度“三公”经费财政拨款支出决算为29.79万元，完成预算100%，较上年度增加22.04万元，增长284.53%。</w:t>
      </w:r>
    </w:p>
    <w:p w14:paraId="17D9C077">
      <w:pPr>
        <w:spacing w:line="600" w:lineRule="exact"/>
        <w:ind w:firstLine="640"/>
        <w:outlineLvl w:val="2"/>
        <w:rPr>
          <w:rFonts w:hint="eastAsia" w:ascii="仿宋_GB2312" w:hAnsi="仿宋_GB2312" w:eastAsia="仿宋_GB2312" w:cs="仿宋_GB2312"/>
          <w:b/>
          <w:sz w:val="32"/>
          <w:szCs w:val="32"/>
        </w:rPr>
      </w:pPr>
      <w:bookmarkStart w:id="53" w:name="_Toc15377217"/>
      <w:bookmarkStart w:id="54" w:name="_Toc2862"/>
      <w:r>
        <w:rPr>
          <w:rFonts w:hint="eastAsia" w:ascii="仿宋_GB2312" w:hAnsi="仿宋_GB2312" w:eastAsia="仿宋_GB2312" w:cs="仿宋_GB2312"/>
          <w:b/>
          <w:sz w:val="32"/>
          <w:szCs w:val="32"/>
        </w:rPr>
        <w:t>（二）“三公”经费财政拨款支出决算具体情况说明</w:t>
      </w:r>
      <w:bookmarkEnd w:id="53"/>
      <w:bookmarkEnd w:id="54"/>
    </w:p>
    <w:p w14:paraId="6BB8B009">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2023年度“三公”经费财政拨款支出决算中，因公出国（境）费支出决算0万元，占0%；公务用车购置及运行维护费支出决算28.97万元，占97.25%；公务接待费支出决算0.82万元，占2.75%。具体情况如下：</w:t>
      </w:r>
    </w:p>
    <w:p w14:paraId="40DC02B1">
      <w:pPr>
        <w:pStyle w:val="5"/>
        <w:rPr>
          <w:rFonts w:hint="eastAsia"/>
        </w:rPr>
      </w:pPr>
      <w:r>
        <w:drawing>
          <wp:inline distT="0" distB="0" distL="0" distR="0">
            <wp:extent cx="5003800" cy="2774950"/>
            <wp:effectExtent l="4445" t="4445" r="20955" b="20955"/>
            <wp:docPr id="98918146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6CCC0D5">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14:paraId="638D4EC5">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1.因公出国（境）经费支出</w:t>
      </w:r>
      <w:r>
        <w:rPr>
          <w:rFonts w:hint="eastAsia" w:ascii="仿宋" w:hAnsi="仿宋" w:eastAsia="仿宋"/>
          <w:b/>
          <w:sz w:val="32"/>
          <w:szCs w:val="32"/>
        </w:rPr>
        <w:t>0万元，年初未安排预算，因公出国</w:t>
      </w:r>
      <w:r>
        <w:rPr>
          <w:rFonts w:hint="eastAsia" w:ascii="仿宋_GB2312" w:eastAsia="仿宋_GB2312"/>
          <w:b/>
          <w:sz w:val="32"/>
          <w:szCs w:val="32"/>
        </w:rPr>
        <w:t>（境）</w:t>
      </w:r>
      <w:r>
        <w:rPr>
          <w:rFonts w:hint="eastAsia" w:ascii="仿宋" w:hAnsi="仿宋" w:eastAsia="仿宋"/>
          <w:b/>
          <w:sz w:val="32"/>
          <w:szCs w:val="32"/>
        </w:rPr>
        <w:t>支出决算较2022年无变化。</w:t>
      </w:r>
    </w:p>
    <w:p w14:paraId="5BF8A91A">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2.公</w:t>
      </w:r>
      <w:r>
        <w:rPr>
          <w:rFonts w:hint="eastAsia" w:ascii="仿宋_GB2312" w:hAnsi="仿宋_GB2312" w:eastAsia="仿宋_GB2312" w:cs="仿宋_GB2312"/>
          <w:b/>
          <w:bCs/>
          <w:sz w:val="32"/>
          <w:szCs w:val="32"/>
        </w:rPr>
        <w:t>务用车购置及运行维护费支出</w:t>
      </w:r>
      <w:r>
        <w:rPr>
          <w:rFonts w:hint="eastAsia" w:ascii="仿宋_GB2312" w:hAnsi="仿宋_GB2312" w:eastAsia="仿宋_GB2312" w:cs="仿宋_GB2312"/>
          <w:sz w:val="32"/>
          <w:szCs w:val="32"/>
        </w:rPr>
        <w:t>28.97万元,完成预算100%。公务用车购置及运行维护费支出决算比2022年度增加21.47万元，增长286.27%。主要原因是新购置公务用车一辆。</w:t>
      </w:r>
    </w:p>
    <w:p w14:paraId="661C5246">
      <w:pPr>
        <w:spacing w:line="600" w:lineRule="exact"/>
        <w:ind w:firstLine="640"/>
      </w:pPr>
      <w:r>
        <w:rPr>
          <w:rFonts w:hint="eastAsia" w:ascii="仿宋_GB2312" w:hAnsi="仿宋_GB2312" w:eastAsia="仿宋_GB2312" w:cs="仿宋_GB2312"/>
          <w:sz w:val="32"/>
          <w:szCs w:val="32"/>
        </w:rPr>
        <w:t>其中：公务用车购置支出19.47万元。全年按规定更新购置公务用车1辆，其中：轿车1辆、金额19.47万元，主要用于执法执勤。截至2023年12月31日，单位共有公务用车4辆，其中：轿车3辆、越野车1辆。</w:t>
      </w:r>
    </w:p>
    <w:p w14:paraId="28972ACC">
      <w:pPr>
        <w:spacing w:line="600" w:lineRule="exact"/>
        <w:ind w:firstLine="640"/>
        <w:rPr>
          <w:rFonts w:hint="eastAsia"/>
        </w:rPr>
      </w:pPr>
      <w:r>
        <w:rPr>
          <w:rFonts w:hint="eastAsia" w:ascii="仿宋_GB2312" w:hAnsi="仿宋_GB2312" w:eastAsia="仿宋_GB2312" w:cs="仿宋_GB2312"/>
          <w:b/>
          <w:bCs/>
          <w:sz w:val="32"/>
          <w:szCs w:val="32"/>
        </w:rPr>
        <w:t>公务用车运行维护费支出9.5万元</w:t>
      </w:r>
      <w:r>
        <w:rPr>
          <w:rFonts w:hint="eastAsia" w:ascii="仿宋_GB2312" w:hAnsi="仿宋_GB2312" w:eastAsia="仿宋_GB2312" w:cs="仿宋_GB2312"/>
          <w:sz w:val="32"/>
          <w:szCs w:val="32"/>
        </w:rPr>
        <w:t>。主要用于检察办案业务工作所需的公务用车燃料费、维修费、过路过桥费、保险费等支出。</w:t>
      </w:r>
    </w:p>
    <w:p w14:paraId="4A35BF04">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0.82万元，</w:t>
      </w:r>
      <w:r>
        <w:rPr>
          <w:rStyle w:val="18"/>
          <w:rFonts w:hint="eastAsia" w:ascii="仿宋" w:hAnsi="仿宋" w:eastAsia="仿宋"/>
          <w:b w:val="0"/>
          <w:bCs/>
          <w:sz w:val="32"/>
          <w:szCs w:val="32"/>
        </w:rPr>
        <w:t>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公务接待费支出决算比2022年度增加0.57万元，增长228</w:t>
      </w:r>
      <w:r>
        <w:rPr>
          <w:rFonts w:ascii="仿宋_GB2312" w:eastAsia="仿宋_GB2312"/>
          <w:sz w:val="32"/>
          <w:szCs w:val="32"/>
        </w:rPr>
        <w:t>%</w:t>
      </w:r>
      <w:r>
        <w:rPr>
          <w:rFonts w:hint="eastAsia" w:ascii="仿宋_GB2312" w:eastAsia="仿宋_GB2312"/>
          <w:sz w:val="32"/>
          <w:szCs w:val="32"/>
        </w:rPr>
        <w:t>。主要原因是公务接待</w:t>
      </w:r>
      <w:r>
        <w:rPr>
          <w:rFonts w:hint="eastAsia" w:ascii="仿宋_GB2312" w:eastAsia="仿宋_GB2312"/>
          <w:sz w:val="32"/>
          <w:szCs w:val="32"/>
          <w:lang w:eastAsia="zh-CN"/>
        </w:rPr>
        <w:t>预算偏低，疫情结束，公务交流恢复</w:t>
      </w:r>
      <w:r>
        <w:rPr>
          <w:rFonts w:hint="eastAsia" w:ascii="仿宋_GB2312" w:eastAsia="仿宋_GB2312"/>
          <w:sz w:val="32"/>
          <w:szCs w:val="32"/>
          <w:lang w:val="en-US" w:eastAsia="zh-CN"/>
        </w:rPr>
        <w:t>正常</w:t>
      </w:r>
      <w:r>
        <w:rPr>
          <w:rFonts w:hint="eastAsia" w:ascii="仿宋_GB2312" w:eastAsia="仿宋_GB2312"/>
          <w:sz w:val="32"/>
          <w:szCs w:val="32"/>
        </w:rPr>
        <w:t>。其中：</w:t>
      </w:r>
    </w:p>
    <w:p w14:paraId="7D28A986">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0.82</w:t>
      </w:r>
      <w:r>
        <w:rPr>
          <w:rFonts w:hint="eastAsia" w:ascii="仿宋_GB2312" w:eastAsia="仿宋_GB2312"/>
          <w:sz w:val="32"/>
          <w:szCs w:val="32"/>
        </w:rPr>
        <w:t>万元，主要用于</w:t>
      </w:r>
      <w:r>
        <w:rPr>
          <w:rFonts w:hint="eastAsia" w:ascii="仿宋" w:hAnsi="仿宋" w:eastAsia="仿宋"/>
          <w:sz w:val="32"/>
          <w:szCs w:val="32"/>
        </w:rPr>
        <w:t>上级检察院、</w:t>
      </w:r>
      <w:r>
        <w:rPr>
          <w:rFonts w:hint="eastAsia" w:ascii="仿宋" w:hAnsi="仿宋" w:eastAsia="仿宋"/>
          <w:sz w:val="32"/>
          <w:szCs w:val="32"/>
          <w:lang w:eastAsia="zh-CN"/>
        </w:rPr>
        <w:t>高校等</w:t>
      </w:r>
      <w:r>
        <w:rPr>
          <w:rFonts w:hint="eastAsia" w:ascii="仿宋" w:hAnsi="仿宋" w:eastAsia="仿宋"/>
          <w:sz w:val="32"/>
          <w:szCs w:val="32"/>
        </w:rPr>
        <w:t>指导考察工作、开展业务</w:t>
      </w:r>
      <w:r>
        <w:rPr>
          <w:rFonts w:hint="eastAsia" w:ascii="仿宋" w:hAnsi="仿宋" w:eastAsia="仿宋"/>
          <w:sz w:val="32"/>
          <w:szCs w:val="32"/>
          <w:lang w:eastAsia="zh-CN"/>
        </w:rPr>
        <w:t>交流</w:t>
      </w:r>
      <w:r>
        <w:rPr>
          <w:rFonts w:hint="eastAsia" w:ascii="仿宋" w:hAnsi="仿宋" w:eastAsia="仿宋"/>
          <w:sz w:val="32"/>
          <w:szCs w:val="32"/>
        </w:rPr>
        <w:t>的</w:t>
      </w:r>
      <w:r>
        <w:rPr>
          <w:rFonts w:hint="eastAsia" w:ascii="仿宋_GB2312" w:eastAsia="仿宋_GB2312"/>
          <w:sz w:val="32"/>
          <w:szCs w:val="32"/>
        </w:rPr>
        <w:t>用餐费。国内公务接待6批次，64人次（不包括陪同人员），共计支出0.82万元，具体内容包括：</w:t>
      </w:r>
      <w:r>
        <w:rPr>
          <w:rFonts w:hint="eastAsia" w:ascii="仿宋_GB2312" w:eastAsia="仿宋_GB2312"/>
          <w:sz w:val="32"/>
          <w:szCs w:val="32"/>
          <w:lang w:eastAsia="zh-CN"/>
        </w:rPr>
        <w:t>广元市朝天区检察院工作交流，花费</w:t>
      </w:r>
      <w:r>
        <w:rPr>
          <w:rFonts w:hint="eastAsia" w:ascii="仿宋_GB2312" w:eastAsia="仿宋_GB2312"/>
          <w:sz w:val="32"/>
          <w:szCs w:val="32"/>
          <w:lang w:val="en-US" w:eastAsia="zh-CN"/>
        </w:rPr>
        <w:t>0.06万元；刘大安公益诉讼案业务接待，花费0.27万元；广元市人民检察院案件分析会议接待，花费0.19万元；西南民大工作交流公务接待，花费0.14万元；凉山州昭觉县检察院工作交流，花费0.11万元；帮扶村对接工作接待费，花费0.05万元</w:t>
      </w:r>
      <w:r>
        <w:rPr>
          <w:rFonts w:hint="eastAsia" w:ascii="仿宋_GB2312" w:eastAsia="仿宋_GB2312"/>
          <w:sz w:val="32"/>
          <w:szCs w:val="32"/>
        </w:rPr>
        <w:t>。</w:t>
      </w:r>
    </w:p>
    <w:p w14:paraId="7DAC62CD">
      <w:pPr>
        <w:spacing w:line="600" w:lineRule="exact"/>
        <w:ind w:firstLine="643" w:firstLineChars="200"/>
        <w:rPr>
          <w:rFonts w:hint="eastAsia"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万元。外事接待0批次，0人次（不包括陪同人员），共计支出0万元。</w:t>
      </w:r>
      <w:bookmarkStart w:id="55" w:name="_Toc15396610"/>
      <w:bookmarkStart w:id="56" w:name="_Toc15377218"/>
    </w:p>
    <w:p w14:paraId="10EBE3F7">
      <w:pPr>
        <w:spacing w:line="600" w:lineRule="exact"/>
        <w:ind w:firstLine="640"/>
        <w:outlineLvl w:val="1"/>
        <w:rPr>
          <w:rStyle w:val="21"/>
          <w:rFonts w:ascii="黑体" w:hAnsi="黑体" w:eastAsia="黑体"/>
        </w:rPr>
      </w:pPr>
      <w:bookmarkStart w:id="57" w:name="_Toc27661"/>
      <w:r>
        <w:rPr>
          <w:rFonts w:hint="eastAsia" w:ascii="黑体" w:eastAsia="黑体"/>
          <w:sz w:val="32"/>
          <w:szCs w:val="32"/>
        </w:rPr>
        <w:t>八、</w:t>
      </w:r>
      <w:r>
        <w:rPr>
          <w:rStyle w:val="21"/>
          <w:rFonts w:hint="eastAsia" w:ascii="黑体" w:hAnsi="黑体" w:eastAsia="黑体"/>
          <w:b w:val="0"/>
        </w:rPr>
        <w:t>政府性基金预算支出决算情况说明</w:t>
      </w:r>
      <w:bookmarkEnd w:id="55"/>
      <w:bookmarkEnd w:id="56"/>
      <w:bookmarkEnd w:id="57"/>
    </w:p>
    <w:p w14:paraId="1BD6AE78">
      <w:pPr>
        <w:spacing w:line="600" w:lineRule="exact"/>
        <w:ind w:firstLine="640"/>
        <w:rPr>
          <w:rFonts w:hint="eastAsia" w:ascii="仿宋_GB2312" w:eastAsia="仿宋_GB2312"/>
          <w:sz w:val="32"/>
          <w:szCs w:val="32"/>
        </w:rPr>
      </w:pPr>
      <w:r>
        <w:rPr>
          <w:rFonts w:hint="eastAsia" w:ascii="仿宋_GB2312" w:eastAsia="仿宋_GB2312"/>
          <w:sz w:val="32"/>
          <w:szCs w:val="32"/>
        </w:rPr>
        <w:t>2023年度政府性基金预算财政拨款支出0万元。</w:t>
      </w:r>
    </w:p>
    <w:p w14:paraId="0682D5E6">
      <w:pPr>
        <w:numPr>
          <w:ilvl w:val="0"/>
          <w:numId w:val="2"/>
        </w:numPr>
        <w:spacing w:line="600" w:lineRule="exact"/>
        <w:ind w:firstLine="640"/>
        <w:outlineLvl w:val="1"/>
        <w:rPr>
          <w:rStyle w:val="21"/>
          <w:rFonts w:ascii="黑体" w:hAnsi="黑体" w:eastAsia="黑体"/>
          <w:b w:val="0"/>
        </w:rPr>
      </w:pPr>
      <w:bookmarkStart w:id="58" w:name="_Toc15396611"/>
      <w:bookmarkStart w:id="59" w:name="_Toc15377219"/>
      <w:bookmarkStart w:id="60" w:name="_Toc22573"/>
      <w:r>
        <w:rPr>
          <w:rStyle w:val="21"/>
          <w:rFonts w:hint="eastAsia" w:ascii="黑体" w:hAnsi="黑体" w:eastAsia="黑体"/>
          <w:b w:val="0"/>
        </w:rPr>
        <w:t>国有资本经营预算支出决算情况说明</w:t>
      </w:r>
      <w:bookmarkEnd w:id="58"/>
      <w:bookmarkEnd w:id="59"/>
      <w:bookmarkEnd w:id="60"/>
    </w:p>
    <w:p w14:paraId="0C652B0E">
      <w:pPr>
        <w:spacing w:line="600" w:lineRule="exact"/>
        <w:ind w:firstLine="640"/>
        <w:rPr>
          <w:rFonts w:hint="eastAsia" w:ascii="仿宋_GB2312" w:eastAsia="仿宋_GB2312"/>
          <w:sz w:val="32"/>
          <w:szCs w:val="32"/>
        </w:rPr>
      </w:pPr>
      <w:r>
        <w:rPr>
          <w:rFonts w:hint="eastAsia" w:ascii="仿宋_GB2312" w:eastAsia="仿宋_GB2312"/>
          <w:sz w:val="32"/>
          <w:szCs w:val="32"/>
        </w:rPr>
        <w:t>2023年度国有资本经营预算财政拨款支出0万元。</w:t>
      </w:r>
    </w:p>
    <w:p w14:paraId="3A865BCE">
      <w:pPr>
        <w:numPr>
          <w:ilvl w:val="0"/>
          <w:numId w:val="2"/>
        </w:numPr>
        <w:spacing w:line="600" w:lineRule="exact"/>
        <w:ind w:firstLine="640"/>
        <w:outlineLvl w:val="1"/>
        <w:rPr>
          <w:rStyle w:val="21"/>
          <w:rFonts w:hint="eastAsia" w:ascii="黑体" w:hAnsi="黑体" w:eastAsia="黑体"/>
          <w:b w:val="0"/>
        </w:rPr>
      </w:pPr>
      <w:bookmarkStart w:id="61" w:name="_Toc15377221"/>
      <w:bookmarkStart w:id="62" w:name="_Toc15396612"/>
      <w:bookmarkStart w:id="63" w:name="_Toc31114"/>
      <w:r>
        <w:rPr>
          <w:rStyle w:val="21"/>
          <w:rFonts w:hint="eastAsia" w:ascii="黑体" w:hAnsi="黑体" w:eastAsia="黑体"/>
          <w:b w:val="0"/>
        </w:rPr>
        <w:t>其他重要事项的情况说明</w:t>
      </w:r>
      <w:bookmarkEnd w:id="61"/>
      <w:bookmarkEnd w:id="62"/>
      <w:bookmarkEnd w:id="63"/>
    </w:p>
    <w:p w14:paraId="4F002558">
      <w:pPr>
        <w:spacing w:line="600" w:lineRule="exact"/>
        <w:ind w:firstLine="643" w:firstLineChars="200"/>
        <w:outlineLvl w:val="2"/>
        <w:rPr>
          <w:rFonts w:ascii="仿宋" w:hAnsi="仿宋" w:eastAsia="仿宋"/>
          <w:sz w:val="32"/>
          <w:szCs w:val="32"/>
        </w:rPr>
      </w:pPr>
      <w:bookmarkStart w:id="64" w:name="_Toc15377222"/>
      <w:bookmarkStart w:id="65" w:name="_Toc28267"/>
      <w:r>
        <w:rPr>
          <w:rFonts w:hint="eastAsia" w:ascii="仿宋" w:hAnsi="仿宋" w:eastAsia="仿宋"/>
          <w:b/>
          <w:sz w:val="32"/>
          <w:szCs w:val="32"/>
        </w:rPr>
        <w:t>（一）机关运行经费支出情况</w:t>
      </w:r>
      <w:bookmarkEnd w:id="64"/>
      <w:bookmarkEnd w:id="65"/>
    </w:p>
    <w:p w14:paraId="77DFE49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2023年度，昭化区检察院机关运行经费支出124.27万元，比2022年度减少4.41万元，下降3.43</w:t>
      </w:r>
      <w:r>
        <w:rPr>
          <w:rFonts w:ascii="仿宋_GB2312" w:eastAsia="仿宋_GB2312"/>
          <w:sz w:val="32"/>
          <w:szCs w:val="32"/>
        </w:rPr>
        <w:t>%</w:t>
      </w:r>
      <w:r>
        <w:rPr>
          <w:rFonts w:hint="eastAsia" w:ascii="仿宋_GB2312" w:eastAsia="仿宋_GB2312"/>
          <w:sz w:val="32"/>
          <w:szCs w:val="32"/>
        </w:rPr>
        <w:t>。主要原因是</w:t>
      </w:r>
      <w:r>
        <w:rPr>
          <w:rFonts w:ascii="仿宋_GB2312" w:eastAsia="仿宋_GB2312"/>
          <w:sz w:val="32"/>
          <w:szCs w:val="32"/>
        </w:rPr>
        <w:t>响应中央政策，厉行节约，反对浪费，压缩经费开支。</w:t>
      </w:r>
    </w:p>
    <w:p w14:paraId="5C90CA9B">
      <w:pPr>
        <w:autoSpaceDE w:val="0"/>
        <w:autoSpaceDN w:val="0"/>
        <w:adjustRightInd w:val="0"/>
        <w:spacing w:line="600" w:lineRule="exact"/>
        <w:ind w:firstLine="643" w:firstLineChars="200"/>
        <w:jc w:val="left"/>
        <w:outlineLvl w:val="2"/>
        <w:rPr>
          <w:rFonts w:ascii="仿宋" w:hAnsi="仿宋" w:eastAsia="仿宋"/>
          <w:b/>
          <w:sz w:val="32"/>
          <w:szCs w:val="32"/>
        </w:rPr>
      </w:pPr>
      <w:bookmarkStart w:id="66" w:name="_Toc15377223"/>
      <w:bookmarkStart w:id="67" w:name="_Toc9802"/>
      <w:r>
        <w:rPr>
          <w:rFonts w:hint="eastAsia" w:ascii="仿宋" w:hAnsi="仿宋" w:eastAsia="仿宋"/>
          <w:b/>
          <w:sz w:val="32"/>
          <w:szCs w:val="32"/>
        </w:rPr>
        <w:t>（二）政府采购支出情况</w:t>
      </w:r>
      <w:bookmarkEnd w:id="66"/>
      <w:bookmarkEnd w:id="67"/>
    </w:p>
    <w:p w14:paraId="069F5CF0">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2023年度，昭化区检察院政府采购支出总额34.6万元，其中：政府采购货物支出34.6万元</w:t>
      </w:r>
      <w:r>
        <w:rPr>
          <w:rFonts w:hint="eastAsia" w:ascii="仿宋_GB2312" w:eastAsia="仿宋_GB2312"/>
          <w:color w:val="auto"/>
          <w:sz w:val="32"/>
          <w:szCs w:val="32"/>
        </w:rPr>
        <w:t>。</w:t>
      </w:r>
      <w:r>
        <w:rPr>
          <w:rFonts w:hint="eastAsia" w:ascii="仿宋_GB2312" w:eastAsia="仿宋_GB2312"/>
          <w:sz w:val="32"/>
          <w:szCs w:val="32"/>
        </w:rPr>
        <w:t>主要用于</w:t>
      </w:r>
      <w:r>
        <w:rPr>
          <w:rFonts w:hint="eastAsia" w:ascii="仿宋_GB2312" w:eastAsia="仿宋_GB2312"/>
          <w:sz w:val="32"/>
          <w:szCs w:val="32"/>
          <w:lang w:eastAsia="zh-CN"/>
        </w:rPr>
        <w:t>机房</w:t>
      </w:r>
      <w:r>
        <w:rPr>
          <w:rFonts w:hint="eastAsia" w:ascii="仿宋_GB2312" w:eastAsia="仿宋_GB2312"/>
          <w:sz w:val="32"/>
          <w:szCs w:val="32"/>
          <w:lang w:val="en-US" w:eastAsia="zh-CN"/>
        </w:rPr>
        <w:t>UPS电源采购、更新执法执勤用车、办案指挥中心建设</w:t>
      </w:r>
      <w:r>
        <w:rPr>
          <w:rFonts w:hint="eastAsia" w:ascii="仿宋_GB2312" w:eastAsia="仿宋_GB2312"/>
          <w:sz w:val="32"/>
          <w:szCs w:val="32"/>
        </w:rPr>
        <w:t>。授予中小企业合同金额0万元，占政府采购支出总额的0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14:paraId="7C647B7D">
      <w:pPr>
        <w:autoSpaceDE w:val="0"/>
        <w:autoSpaceDN w:val="0"/>
        <w:adjustRightInd w:val="0"/>
        <w:spacing w:line="600" w:lineRule="exact"/>
        <w:ind w:firstLine="643" w:firstLineChars="200"/>
        <w:jc w:val="left"/>
        <w:outlineLvl w:val="2"/>
        <w:rPr>
          <w:rFonts w:ascii="仿宋" w:hAnsi="仿宋" w:eastAsia="仿宋"/>
          <w:b/>
          <w:sz w:val="32"/>
          <w:szCs w:val="32"/>
        </w:rPr>
      </w:pPr>
      <w:bookmarkStart w:id="68" w:name="_Toc5845"/>
      <w:bookmarkStart w:id="69" w:name="_Toc15377224"/>
      <w:r>
        <w:rPr>
          <w:rFonts w:hint="eastAsia" w:ascii="仿宋" w:hAnsi="仿宋" w:eastAsia="仿宋"/>
          <w:b/>
          <w:sz w:val="32"/>
          <w:szCs w:val="32"/>
        </w:rPr>
        <w:t>（三）国有资产占有使用情况</w:t>
      </w:r>
      <w:bookmarkEnd w:id="68"/>
      <w:bookmarkEnd w:id="69"/>
    </w:p>
    <w:p w14:paraId="45F5D11B">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日，昭化区检察院共有车辆4辆，其中：</w:t>
      </w:r>
      <w:r>
        <w:rPr>
          <w:rFonts w:ascii="仿宋_GB2312" w:eastAsia="仿宋_GB2312"/>
          <w:sz w:val="32"/>
          <w:szCs w:val="32"/>
        </w:rPr>
        <w:t>执勤执法用车4辆</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万元以上设备（不含车辆）0台（套）。</w:t>
      </w:r>
    </w:p>
    <w:p w14:paraId="1950E03A">
      <w:pPr>
        <w:autoSpaceDE w:val="0"/>
        <w:autoSpaceDN w:val="0"/>
        <w:adjustRightInd w:val="0"/>
        <w:spacing w:line="600" w:lineRule="exact"/>
        <w:ind w:firstLine="643" w:firstLineChars="200"/>
        <w:jc w:val="left"/>
        <w:outlineLvl w:val="2"/>
        <w:rPr>
          <w:rFonts w:ascii="仿宋" w:hAnsi="仿宋" w:eastAsia="仿宋"/>
          <w:b/>
          <w:sz w:val="32"/>
          <w:szCs w:val="32"/>
        </w:rPr>
      </w:pPr>
      <w:bookmarkStart w:id="70" w:name="_Toc10672"/>
      <w:r>
        <w:rPr>
          <w:rFonts w:hint="eastAsia" w:ascii="仿宋" w:hAnsi="仿宋" w:eastAsia="仿宋"/>
          <w:b/>
          <w:sz w:val="32"/>
          <w:szCs w:val="32"/>
        </w:rPr>
        <w:t>（四）预算绩效管理情况</w:t>
      </w:r>
      <w:bookmarkEnd w:id="70"/>
    </w:p>
    <w:p w14:paraId="78BE79FF">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根据预算绩效管理要求，本部门在2023年度预算编制阶段，组织对乡村振兴工作经费项目等9个项目开展了预算事前绩效评估，对9个项目编制了绩效目标，预算执行过程中，选取9个项目开展绩效监控。</w:t>
      </w:r>
    </w:p>
    <w:p w14:paraId="64807304">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形成广元市昭化区人民检察院部门整体（含部门预算项目）绩效自评报告、专项预算项目绩效</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rPr>
        <w:t>，其中，广元市昭化区人民检察院部门整体（含部门预算项目）绩效自评得分为93.31分，绩效自评综述：在总体绩效方面表现良好；广元市昭化区人民检察院专项预算项目绩效自评得分为83.36分，绩效自评综述：项目实施效果显著，多数目标超预期完成。绩效自评详见附件。</w:t>
      </w:r>
    </w:p>
    <w:p w14:paraId="06D4F75B">
      <w:pPr>
        <w:widowControl/>
        <w:ind w:firstLine="643" w:firstLineChars="200"/>
        <w:jc w:val="left"/>
        <w:rPr>
          <w:rFonts w:ascii="仿宋_GB2312" w:eastAsia="仿宋_GB2312"/>
          <w:b/>
          <w:sz w:val="32"/>
          <w:szCs w:val="32"/>
        </w:rPr>
      </w:pPr>
    </w:p>
    <w:p w14:paraId="5CCD0EAD"/>
    <w:p w14:paraId="5D4D2580">
      <w:pPr>
        <w:numPr>
          <w:ilvl w:val="0"/>
          <w:numId w:val="3"/>
        </w:numPr>
        <w:spacing w:line="600" w:lineRule="exact"/>
        <w:ind w:firstLine="660" w:firstLineChars="150"/>
        <w:jc w:val="center"/>
        <w:outlineLvl w:val="0"/>
        <w:rPr>
          <w:rStyle w:val="20"/>
          <w:rFonts w:ascii="黑体" w:hAnsi="黑体" w:eastAsia="黑体"/>
          <w:b w:val="0"/>
        </w:rPr>
      </w:pPr>
      <w:bookmarkStart w:id="71" w:name="_Toc15396613"/>
      <w:bookmarkStart w:id="72" w:name="_Toc31960"/>
      <w:bookmarkStart w:id="73" w:name="_Toc15377225"/>
      <w:r>
        <w:rPr>
          <w:rFonts w:hint="eastAsia" w:ascii="黑体" w:hAnsi="黑体" w:eastAsia="黑体"/>
          <w:sz w:val="44"/>
          <w:szCs w:val="44"/>
        </w:rPr>
        <w:t>名</w:t>
      </w:r>
      <w:r>
        <w:rPr>
          <w:rStyle w:val="20"/>
          <w:rFonts w:hint="eastAsia" w:ascii="黑体" w:hAnsi="黑体" w:eastAsia="黑体"/>
          <w:b w:val="0"/>
        </w:rPr>
        <w:t>词解释</w:t>
      </w:r>
      <w:bookmarkEnd w:id="71"/>
      <w:bookmarkEnd w:id="72"/>
      <w:bookmarkEnd w:id="73"/>
    </w:p>
    <w:p w14:paraId="16E0848A">
      <w:pPr>
        <w:spacing w:line="600" w:lineRule="exact"/>
        <w:jc w:val="left"/>
        <w:rPr>
          <w:rFonts w:ascii="宋体"/>
          <w:b/>
          <w:sz w:val="44"/>
          <w:szCs w:val="44"/>
        </w:rPr>
      </w:pPr>
    </w:p>
    <w:p w14:paraId="42F353A4">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14:paraId="5144DE2C">
      <w:pPr>
        <w:keepNext w:val="0"/>
        <w:keepLines w:val="0"/>
        <w:pageBreakBefore w:val="0"/>
        <w:widowControl w:val="0"/>
        <w:numPr>
          <w:ilvl w:val="0"/>
          <w:numId w:val="4"/>
        </w:numPr>
        <w:tabs>
          <w:tab w:val="left" w:pos="1001"/>
        </w:tabs>
        <w:suppressAutoHyphens w:val="0"/>
        <w:kinsoku/>
        <w:wordWrap/>
        <w:overflowPunct/>
        <w:topLinePunct w:val="0"/>
        <w:autoSpaceDE w:val="0"/>
        <w:autoSpaceDN w:val="0"/>
        <w:bidi w:val="0"/>
        <w:snapToGrid/>
        <w:spacing w:before="152" w:line="576" w:lineRule="exact"/>
        <w:ind w:left="0" w:leftChars="0" w:right="485" w:firstLine="400" w:firstLineChars="0"/>
        <w:textAlignment w:val="auto"/>
        <w:rPr>
          <w:rFonts w:hint="eastAsia" w:ascii="仿宋_GB2312" w:eastAsia="仿宋_GB2312"/>
          <w:sz w:val="32"/>
          <w:szCs w:val="32"/>
          <w:lang w:eastAsia="zh-CN"/>
        </w:rPr>
      </w:pPr>
      <w:r>
        <w:rPr>
          <w:rFonts w:hint="eastAsia" w:ascii="仿宋_GB2312" w:eastAsia="仿宋_GB2312"/>
          <w:sz w:val="32"/>
          <w:szCs w:val="32"/>
        </w:rPr>
        <w:t>其他收入：指单位取得的除上述收入以外的各项收入</w:t>
      </w:r>
      <w:r>
        <w:rPr>
          <w:rFonts w:hint="eastAsia" w:ascii="仿宋_GB2312" w:eastAsia="仿宋_GB2312"/>
          <w:sz w:val="32"/>
          <w:szCs w:val="32"/>
          <w:lang w:eastAsia="zh-CN"/>
        </w:rPr>
        <w:t>。</w:t>
      </w:r>
    </w:p>
    <w:p w14:paraId="096423EE">
      <w:pPr>
        <w:keepNext w:val="0"/>
        <w:keepLines w:val="0"/>
        <w:pageBreakBefore w:val="0"/>
        <w:widowControl w:val="0"/>
        <w:numPr>
          <w:ilvl w:val="0"/>
          <w:numId w:val="4"/>
        </w:numPr>
        <w:tabs>
          <w:tab w:val="left" w:pos="1001"/>
        </w:tabs>
        <w:suppressAutoHyphens w:val="0"/>
        <w:kinsoku/>
        <w:wordWrap/>
        <w:overflowPunct/>
        <w:topLinePunct w:val="0"/>
        <w:autoSpaceDE w:val="0"/>
        <w:autoSpaceDN w:val="0"/>
        <w:bidi w:val="0"/>
        <w:snapToGrid/>
        <w:spacing w:before="152" w:line="576" w:lineRule="exact"/>
        <w:ind w:left="0" w:leftChars="0" w:right="485" w:firstLine="400" w:firstLineChars="0"/>
        <w:textAlignment w:val="auto"/>
        <w:rPr>
          <w:rFonts w:hint="eastAsia" w:ascii="仿宋_GB2312" w:eastAsia="仿宋_GB2312"/>
          <w:sz w:val="32"/>
          <w:szCs w:val="32"/>
        </w:rPr>
      </w:pPr>
      <w:r>
        <w:rPr>
          <w:rFonts w:ascii="仿宋_GB2312" w:eastAsia="仿宋_GB2312"/>
          <w:sz w:val="32"/>
          <w:szCs w:val="32"/>
        </w:rPr>
        <w:t>公共安全（类）检察（款）行政运行（项）：指检察 院机关的基本支出。</w:t>
      </w:r>
    </w:p>
    <w:p w14:paraId="320AC89A">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ascii="仿宋_GB2312" w:eastAsia="仿宋_GB2312"/>
          <w:color w:val="auto"/>
          <w:sz w:val="32"/>
          <w:szCs w:val="32"/>
        </w:rPr>
        <w:t>公共安全（类）检察（款）一般行政管理事务（项）是指检察院在履行检察职能过程中，涉及的一般性行政管理事务的支出项目。</w:t>
      </w:r>
    </w:p>
    <w:p w14:paraId="7BB29B27">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hint="eastAsia" w:ascii="仿宋_GB2312" w:eastAsia="仿宋_GB2312"/>
          <w:color w:val="auto"/>
          <w:sz w:val="32"/>
          <w:szCs w:val="32"/>
        </w:rPr>
      </w:pPr>
      <w:r>
        <w:rPr>
          <w:rFonts w:ascii="仿宋_GB2312" w:eastAsia="仿宋_GB2312"/>
          <w:color w:val="auto"/>
          <w:sz w:val="32"/>
          <w:szCs w:val="32"/>
        </w:rPr>
        <w:t>公共安全（类）检察（款）检察监督（项）是指人民检察院在履行法律监督职责过程中，用于开展检察监督工作的专项支出项目。</w:t>
      </w:r>
    </w:p>
    <w:p w14:paraId="4CF22A29">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ascii="仿宋_GB2312" w:eastAsia="仿宋_GB2312"/>
          <w:color w:val="auto"/>
          <w:sz w:val="32"/>
          <w:szCs w:val="32"/>
        </w:rPr>
        <w:t>公共安全（类）检察（款）事业运行（项）：主要用于保障事业单位正常运行，开展日常工作的基本支出。</w:t>
      </w:r>
    </w:p>
    <w:p w14:paraId="4C8538A3">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ascii="仿宋_GB2312" w:eastAsia="仿宋_GB2312"/>
          <w:color w:val="auto"/>
          <w:sz w:val="32"/>
          <w:szCs w:val="32"/>
        </w:rPr>
        <w:t>公共安全（类）检察（款）其他检察支出（项）：指检察院机关未单独设置项级科目的其他项目支出。</w:t>
      </w:r>
    </w:p>
    <w:p w14:paraId="6DD33BC9">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ascii="仿宋_GB2312" w:eastAsia="仿宋_GB2312"/>
          <w:color w:val="auto"/>
          <w:sz w:val="32"/>
          <w:szCs w:val="32"/>
        </w:rPr>
        <w:t>社会保障和就业支出（类）行政事业单位养老支出（款） 机关事业单位基本养老保险缴费支出（项）：指机关事业单位实施养老保险制度由单位缴纳的基本养老保险费支出</w:t>
      </w:r>
      <w:r>
        <w:rPr>
          <w:rFonts w:hint="eastAsia" w:ascii="仿宋_GB2312" w:eastAsia="仿宋_GB2312"/>
          <w:color w:val="auto"/>
          <w:sz w:val="32"/>
          <w:szCs w:val="32"/>
        </w:rPr>
        <w:t>。</w:t>
      </w:r>
    </w:p>
    <w:p w14:paraId="52F259FE">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hint="eastAsia" w:ascii="仿宋_GB2312" w:eastAsia="仿宋_GB2312"/>
          <w:color w:val="auto"/>
          <w:sz w:val="32"/>
          <w:szCs w:val="32"/>
        </w:rPr>
      </w:pPr>
      <w:r>
        <w:rPr>
          <w:rFonts w:hint="eastAsia" w:ascii="仿宋_GB2312" w:eastAsia="仿宋_GB2312"/>
          <w:color w:val="auto"/>
          <w:sz w:val="32"/>
          <w:szCs w:val="32"/>
        </w:rPr>
        <w:t>社会保障和就业（类）行政事业单位养老（款）机关事业单位职业年金缴费支出（项）:指机关事业单位实施职业年金制度缴纳的职业年金支出。</w:t>
      </w:r>
    </w:p>
    <w:p w14:paraId="5604DB9E">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hint="eastAsia" w:ascii="仿宋_GB2312" w:eastAsia="仿宋_GB2312"/>
          <w:color w:val="auto"/>
          <w:sz w:val="32"/>
          <w:szCs w:val="32"/>
        </w:rPr>
      </w:pPr>
      <w:r>
        <w:rPr>
          <w:rFonts w:ascii="仿宋_GB2312" w:eastAsia="仿宋_GB2312"/>
          <w:color w:val="auto"/>
          <w:sz w:val="32"/>
          <w:szCs w:val="32"/>
        </w:rPr>
        <w:t>社会保障和就业（类）其他社会保障和就业（款）其他社会保障和就业（项）：</w:t>
      </w:r>
      <w:r>
        <w:rPr>
          <w:rFonts w:hint="eastAsia" w:ascii="仿宋_GB2312" w:eastAsia="仿宋_GB2312"/>
          <w:color w:val="auto"/>
          <w:sz w:val="32"/>
          <w:szCs w:val="32"/>
        </w:rPr>
        <w:t>是</w:t>
      </w:r>
      <w:r>
        <w:rPr>
          <w:rFonts w:ascii="仿宋_GB2312" w:eastAsia="仿宋_GB2312"/>
          <w:color w:val="auto"/>
          <w:sz w:val="32"/>
          <w:szCs w:val="32"/>
        </w:rPr>
        <w:t>指除基本社会保险（如养老保险、医疗保险、失业保险等）以外的，用于社会保障和就业方面的其他支出。</w:t>
      </w:r>
    </w:p>
    <w:p w14:paraId="45417255">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ascii="仿宋_GB2312" w:eastAsia="仿宋_GB2312"/>
          <w:color w:val="auto"/>
          <w:sz w:val="32"/>
          <w:szCs w:val="32"/>
        </w:rPr>
        <w:t>卫生健康支出（类）行政事业单位医疗（款）行政单 位医疗（项）： 指机关事业单位公务员缴纳的医疗保险支出。</w:t>
      </w:r>
    </w:p>
    <w:p w14:paraId="46BB8E5F">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hint="eastAsia" w:ascii="仿宋_GB2312" w:eastAsia="仿宋_GB2312"/>
          <w:color w:val="auto"/>
          <w:sz w:val="32"/>
          <w:szCs w:val="32"/>
        </w:rPr>
      </w:pPr>
      <w:r>
        <w:rPr>
          <w:rFonts w:ascii="仿宋_GB2312" w:eastAsia="仿宋_GB2312"/>
          <w:color w:val="auto"/>
          <w:sz w:val="32"/>
          <w:szCs w:val="32"/>
        </w:rPr>
        <w:t>住房保障支出（类）住房改革支出（款）住房公积</w:t>
      </w:r>
      <w:r>
        <w:rPr>
          <w:rFonts w:hint="eastAsia" w:ascii="仿宋_GB2312" w:eastAsia="仿宋_GB2312"/>
          <w:color w:val="auto"/>
          <w:sz w:val="32"/>
          <w:szCs w:val="32"/>
        </w:rPr>
        <w:t>金</w:t>
      </w:r>
      <w:r>
        <w:rPr>
          <w:rFonts w:ascii="仿宋_GB2312" w:eastAsia="仿宋_GB2312"/>
          <w:color w:val="auto"/>
          <w:sz w:val="32"/>
          <w:szCs w:val="32"/>
        </w:rPr>
        <w:t>（项）： 指反映行政事业单位按人力资源和社会保障部财政部规定的基本工资和津贴补贴以及规定比例为职工缴 纳的住房公积金。</w:t>
      </w:r>
    </w:p>
    <w:p w14:paraId="11D89C11">
      <w:pPr>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14:paraId="0BB98A38">
      <w:pPr>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595B242A">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A2EE956">
      <w:pPr>
        <w:pStyle w:val="26"/>
        <w:keepNext w:val="0"/>
        <w:keepLines w:val="0"/>
        <w:pageBreakBefore w:val="0"/>
        <w:widowControl w:val="0"/>
        <w:numPr>
          <w:ilvl w:val="0"/>
          <w:numId w:val="4"/>
        </w:numPr>
        <w:kinsoku/>
        <w:wordWrap/>
        <w:overflowPunct/>
        <w:topLinePunct w:val="0"/>
        <w:bidi w:val="0"/>
        <w:snapToGrid/>
        <w:spacing w:line="576" w:lineRule="exact"/>
        <w:ind w:left="0" w:leftChars="0" w:firstLine="400" w:firstLineChars="0"/>
        <w:textAlignment w:val="auto"/>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B57DDE">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rPr>
      </w:pPr>
    </w:p>
    <w:p w14:paraId="2403C97B">
      <w:pPr>
        <w:pStyle w:val="26"/>
        <w:spacing w:line="560" w:lineRule="exact"/>
        <w:ind w:firstLine="640" w:firstLineChars="200"/>
        <w:rPr>
          <w:rFonts w:ascii="仿宋_GB2312" w:eastAsia="仿宋_GB2312"/>
          <w:color w:val="auto"/>
          <w:sz w:val="32"/>
          <w:szCs w:val="32"/>
        </w:rPr>
      </w:pPr>
    </w:p>
    <w:p w14:paraId="1F146BE7">
      <w:pPr>
        <w:spacing w:line="600" w:lineRule="exact"/>
        <w:jc w:val="center"/>
        <w:outlineLvl w:val="0"/>
        <w:rPr>
          <w:rStyle w:val="20"/>
          <w:rFonts w:hint="eastAsia" w:ascii="黑体" w:hAnsi="黑体" w:eastAsia="黑体"/>
          <w:b w:val="0"/>
        </w:rPr>
      </w:pPr>
      <w:bookmarkStart w:id="74" w:name="_Toc15377226"/>
      <w:r>
        <w:rPr>
          <w:rFonts w:ascii="宋体"/>
          <w:b/>
          <w:sz w:val="44"/>
          <w:szCs w:val="44"/>
        </w:rPr>
        <w:br w:type="page"/>
      </w:r>
      <w:bookmarkStart w:id="75" w:name="_Toc15396614"/>
      <w:bookmarkStart w:id="76" w:name="_Toc29858"/>
      <w:r>
        <w:rPr>
          <w:rFonts w:hint="eastAsia" w:ascii="黑体" w:hAnsi="黑体" w:eastAsia="黑体"/>
          <w:sz w:val="44"/>
          <w:szCs w:val="44"/>
        </w:rPr>
        <w:t>第</w:t>
      </w:r>
      <w:r>
        <w:rPr>
          <w:rStyle w:val="20"/>
          <w:rFonts w:hint="eastAsia" w:ascii="黑体" w:hAnsi="黑体" w:eastAsia="黑体"/>
          <w:b w:val="0"/>
        </w:rPr>
        <w:t>四部分 附件</w:t>
      </w:r>
      <w:bookmarkEnd w:id="75"/>
      <w:bookmarkEnd w:id="76"/>
    </w:p>
    <w:p w14:paraId="67D266E7">
      <w:pPr>
        <w:spacing w:line="572" w:lineRule="exact"/>
        <w:jc w:val="left"/>
        <w:outlineLvl w:val="0"/>
        <w:rPr>
          <w:rFonts w:hint="eastAsia" w:ascii="黑体" w:hAnsi="黑体" w:eastAsia="黑体" w:cs="黑体"/>
          <w:color w:val="FF0000"/>
          <w:sz w:val="32"/>
          <w:szCs w:val="32"/>
        </w:rPr>
      </w:pPr>
    </w:p>
    <w:p w14:paraId="6039F249">
      <w:pPr>
        <w:spacing w:line="572" w:lineRule="exact"/>
        <w:jc w:val="left"/>
        <w:outlineLvl w:val="0"/>
        <w:rPr>
          <w:rFonts w:hint="eastAsia" w:ascii="方正小标宋简体" w:hAnsi="方正小标宋简体" w:eastAsia="黑体" w:cs="方正小标宋简体"/>
          <w:sz w:val="44"/>
          <w:szCs w:val="44"/>
        </w:rPr>
      </w:pPr>
      <w:bookmarkStart w:id="77" w:name="_Toc15409"/>
      <w:r>
        <w:rPr>
          <w:rFonts w:hint="eastAsia" w:ascii="黑体" w:hAnsi="黑体" w:eastAsia="黑体" w:cs="黑体"/>
          <w:sz w:val="32"/>
          <w:szCs w:val="32"/>
        </w:rPr>
        <w:t>附件1</w:t>
      </w:r>
      <w:bookmarkEnd w:id="77"/>
    </w:p>
    <w:p w14:paraId="1C84ABD2">
      <w:pPr>
        <w:widowControl/>
        <w:spacing w:line="578" w:lineRule="exact"/>
        <w:contextualSpacing/>
        <w:rPr>
          <w:b/>
          <w:sz w:val="44"/>
          <w:szCs w:val="44"/>
          <w:shd w:val="clear" w:color="auto" w:fill="FFFFFF"/>
        </w:rPr>
      </w:pPr>
    </w:p>
    <w:p w14:paraId="492B69F9">
      <w:pPr>
        <w:widowControl/>
        <w:spacing w:line="578" w:lineRule="exact"/>
        <w:contextualSpacing/>
        <w:jc w:val="center"/>
        <w:rPr>
          <w:rFonts w:eastAsia="方正小标宋简体"/>
          <w:bCs/>
          <w:sz w:val="44"/>
          <w:szCs w:val="44"/>
          <w:shd w:val="clear" w:color="auto" w:fill="FFFFFF"/>
        </w:rPr>
      </w:pPr>
      <w:r>
        <w:rPr>
          <w:rFonts w:hint="eastAsia" w:eastAsia="方正小标宋简体"/>
          <w:bCs/>
          <w:sz w:val="44"/>
          <w:szCs w:val="44"/>
          <w:shd w:val="clear" w:color="auto" w:fill="FFFFFF"/>
        </w:rPr>
        <w:t>广元市昭化区人民检察院</w:t>
      </w:r>
    </w:p>
    <w:p w14:paraId="2158BCB1">
      <w:pPr>
        <w:widowControl/>
        <w:spacing w:line="578" w:lineRule="exact"/>
        <w:contextualSpacing/>
        <w:jc w:val="center"/>
        <w:rPr>
          <w:rFonts w:eastAsia="方正小标宋简体"/>
          <w:bCs/>
          <w:sz w:val="44"/>
          <w:szCs w:val="44"/>
          <w:shd w:val="clear" w:color="auto" w:fill="FFFFFF"/>
        </w:rPr>
      </w:pPr>
      <w:r>
        <w:rPr>
          <w:rFonts w:hint="eastAsia" w:eastAsia="方正小标宋简体"/>
          <w:bCs/>
          <w:sz w:val="44"/>
          <w:szCs w:val="44"/>
          <w:shd w:val="clear" w:color="auto" w:fill="FFFFFF"/>
        </w:rPr>
        <w:t>整体</w:t>
      </w:r>
      <w:r>
        <w:rPr>
          <w:rFonts w:eastAsia="方正小标宋简体"/>
          <w:bCs/>
          <w:sz w:val="44"/>
          <w:szCs w:val="44"/>
          <w:shd w:val="clear" w:color="auto" w:fill="FFFFFF"/>
        </w:rPr>
        <w:t>预算绩效</w:t>
      </w:r>
      <w:r>
        <w:rPr>
          <w:rFonts w:hint="eastAsia" w:eastAsia="方正小标宋简体"/>
          <w:bCs/>
          <w:sz w:val="44"/>
          <w:szCs w:val="44"/>
          <w:shd w:val="clear" w:color="auto" w:fill="FFFFFF"/>
        </w:rPr>
        <w:t>评价</w:t>
      </w:r>
      <w:r>
        <w:rPr>
          <w:rFonts w:eastAsia="方正小标宋简体"/>
          <w:bCs/>
          <w:sz w:val="44"/>
          <w:szCs w:val="44"/>
          <w:shd w:val="clear" w:color="auto" w:fill="FFFFFF"/>
        </w:rPr>
        <w:t>报告</w:t>
      </w:r>
    </w:p>
    <w:p w14:paraId="4AA63AEF">
      <w:pPr>
        <w:widowControl/>
        <w:adjustRightInd w:val="0"/>
        <w:snapToGrid w:val="0"/>
        <w:spacing w:line="578" w:lineRule="exact"/>
        <w:ind w:firstLine="480" w:firstLineChars="200"/>
        <w:contextualSpacing/>
        <w:jc w:val="left"/>
        <w:rPr>
          <w:rFonts w:eastAsia="黑体"/>
          <w:color w:val="000000"/>
          <w:kern w:val="0"/>
          <w:sz w:val="24"/>
          <w:szCs w:val="32"/>
          <w:shd w:val="clear" w:color="auto" w:fill="FFFFFF"/>
        </w:rPr>
      </w:pPr>
    </w:p>
    <w:p w14:paraId="49766101">
      <w:pPr>
        <w:widowControl/>
        <w:adjustRightInd w:val="0"/>
        <w:snapToGrid w:val="0"/>
        <w:spacing w:line="578" w:lineRule="exact"/>
        <w:ind w:firstLine="640" w:firstLineChars="200"/>
        <w:contextualSpacing/>
        <w:jc w:val="left"/>
        <w:rPr>
          <w:rFonts w:hint="eastAsia" w:ascii="黑体" w:hAnsi="黑体" w:eastAsia="黑体" w:cs="黑体"/>
          <w:kern w:val="0"/>
          <w:sz w:val="32"/>
          <w:szCs w:val="32"/>
        </w:rPr>
      </w:pPr>
      <w:r>
        <w:rPr>
          <w:rFonts w:hint="eastAsia" w:ascii="黑体" w:hAnsi="黑体" w:eastAsia="黑体" w:cs="黑体"/>
          <w:kern w:val="0"/>
          <w:sz w:val="32"/>
          <w:szCs w:val="32"/>
        </w:rPr>
        <w:t>一、部门基本情况</w:t>
      </w:r>
    </w:p>
    <w:p w14:paraId="6FCE2871">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（一）机构组成。</w:t>
      </w:r>
      <w:r>
        <w:rPr>
          <w:rFonts w:hint="eastAsia" w:ascii="仿宋_GB2312" w:eastAsia="仿宋_GB2312" w:cs="仿宋"/>
          <w:kern w:val="0"/>
          <w:sz w:val="32"/>
          <w:szCs w:val="32"/>
        </w:rPr>
        <w:t>广元市昭化区人民检察院</w:t>
      </w:r>
      <w:r>
        <w:rPr>
          <w:rFonts w:ascii="仿宋_GB2312" w:eastAsia="仿宋_GB2312" w:cs="仿宋"/>
          <w:kern w:val="0"/>
          <w:sz w:val="32"/>
          <w:szCs w:val="32"/>
        </w:rPr>
        <w:t>下属内设机构 5 个，其中业务部门 3 个（第一、第 二、第三检察部），综合部门 2 个（办公室、政治部）</w:t>
      </w:r>
      <w:r>
        <w:rPr>
          <w:rFonts w:hint="eastAsia" w:ascii="仿宋_GB2312" w:eastAsia="仿宋_GB2312" w:cs="仿宋"/>
          <w:kern w:val="0"/>
          <w:sz w:val="32"/>
          <w:szCs w:val="32"/>
        </w:rPr>
        <w:t>，无下属二级单位。</w:t>
      </w:r>
    </w:p>
    <w:p w14:paraId="2A8540C3">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（二）机构职能。</w:t>
      </w:r>
      <w:r>
        <w:rPr>
          <w:rFonts w:hint="eastAsia" w:ascii="仿宋_GB2312" w:eastAsia="仿宋_GB2312" w:cs="仿宋"/>
          <w:kern w:val="0"/>
          <w:sz w:val="32"/>
          <w:szCs w:val="32"/>
        </w:rPr>
        <w:t>人民检察院是国家的法律监督机关。通过履行刑事、民事、行政、公益诉讼检察职能，保证国家法律的统一和正确实施。对于侦查机关侦查的案件进行审查，决定是否逮捕、起诉或者不起诉，并对侦查机关的立案、侦查活动是否合法实行监督；对于刑事案件提起公诉，支持公诉；对于人民法院的刑事判决、裁定是否正确和审判活动是否合法实行监督；对于人民法院的民事审判活动实行法律监督，对人民法院已经发生效力的判决、裁定，发现违反法律、法规规定的，依法提出抗诉；对于行政诉讼实行法律监督，对人民法院已经发生效力的判决、裁定发现违反法律、法规规定的，依法提出抗诉；办理公益诉讼案件，并依照有关规定提出检察建议。</w:t>
      </w:r>
    </w:p>
    <w:p w14:paraId="2097CF79">
      <w:pPr>
        <w:spacing w:line="576" w:lineRule="exact"/>
        <w:ind w:firstLine="640" w:firstLineChars="200"/>
        <w:rPr>
          <w:rFonts w:hint="eastAsia" w:ascii="仿宋_GB2312" w:eastAsia="仿宋_GB2312" w:cs="仿宋"/>
          <w:kern w:val="0"/>
          <w:sz w:val="32"/>
          <w:szCs w:val="32"/>
        </w:rPr>
      </w:pPr>
      <w:r>
        <w:rPr>
          <w:rFonts w:hint="eastAsia" w:ascii="楷体_GB2312" w:hAnsi="楷体_GB2312" w:eastAsia="楷体_GB2312" w:cs="楷体_GB2312"/>
          <w:kern w:val="0"/>
          <w:sz w:val="32"/>
          <w:szCs w:val="32"/>
        </w:rPr>
        <w:t>（三）人员概况。</w:t>
      </w:r>
      <w:r>
        <w:rPr>
          <w:rFonts w:ascii="仿宋_GB2312" w:eastAsia="仿宋_GB2312" w:cs="仿宋"/>
          <w:kern w:val="0"/>
          <w:sz w:val="32"/>
          <w:szCs w:val="32"/>
        </w:rPr>
        <w:t>截至202</w:t>
      </w:r>
      <w:r>
        <w:rPr>
          <w:rFonts w:hint="eastAsia" w:ascii="仿宋_GB2312" w:eastAsia="仿宋_GB2312" w:cs="仿宋"/>
          <w:kern w:val="0"/>
          <w:sz w:val="32"/>
          <w:szCs w:val="32"/>
        </w:rPr>
        <w:t>3</w:t>
      </w:r>
      <w:r>
        <w:rPr>
          <w:rFonts w:ascii="仿宋_GB2312" w:eastAsia="仿宋_GB2312" w:cs="仿宋"/>
          <w:kern w:val="0"/>
          <w:sz w:val="32"/>
          <w:szCs w:val="32"/>
        </w:rPr>
        <w:t>年末，</w:t>
      </w:r>
      <w:r>
        <w:rPr>
          <w:rFonts w:hint="eastAsia" w:ascii="仿宋_GB2312" w:eastAsia="仿宋_GB2312" w:cs="仿宋"/>
          <w:kern w:val="0"/>
          <w:sz w:val="32"/>
          <w:szCs w:val="32"/>
        </w:rPr>
        <w:t>广元市昭化区人民检察院实有在职人员26人，政法编制干警22人，事业编制4人。</w:t>
      </w:r>
    </w:p>
    <w:p w14:paraId="4B296B9E">
      <w:pPr>
        <w:widowControl/>
        <w:adjustRightInd w:val="0"/>
        <w:snapToGrid w:val="0"/>
        <w:spacing w:line="578" w:lineRule="exact"/>
        <w:ind w:firstLine="640" w:firstLineChars="200"/>
        <w:contextualSpacing/>
        <w:jc w:val="left"/>
        <w:rPr>
          <w:rFonts w:hint="eastAsia" w:ascii="黑体" w:hAnsi="黑体" w:eastAsia="黑体" w:cs="黑体"/>
          <w:kern w:val="0"/>
          <w:sz w:val="32"/>
          <w:szCs w:val="32"/>
        </w:rPr>
      </w:pPr>
      <w:r>
        <w:rPr>
          <w:rFonts w:hint="eastAsia" w:ascii="黑体" w:hAnsi="黑体" w:eastAsia="黑体" w:cs="黑体"/>
          <w:kern w:val="0"/>
          <w:sz w:val="32"/>
          <w:szCs w:val="32"/>
        </w:rPr>
        <w:t>二、部门资金收支情况</w:t>
      </w:r>
    </w:p>
    <w:p w14:paraId="51D07C5A">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（一）收入情况。</w:t>
      </w:r>
      <w:r>
        <w:rPr>
          <w:rFonts w:hint="eastAsia" w:ascii="仿宋_GB2312" w:eastAsia="仿宋_GB2312" w:cs="仿宋"/>
          <w:kern w:val="0"/>
          <w:sz w:val="32"/>
          <w:szCs w:val="32"/>
        </w:rPr>
        <w:t>广元市昭化区人民检察院2023年预算收入603.31万元，其中：一般公共预算拨款收入603.31万元，占100%。2023年决算收入931.40万元，其中：一般公共预算拨款收入767.90万元，占82.44%；其他收入163.50万元，占17.56%。</w:t>
      </w:r>
    </w:p>
    <w:p w14:paraId="21E45AA0">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（二）支出情况。</w:t>
      </w:r>
      <w:r>
        <w:rPr>
          <w:rFonts w:hint="eastAsia" w:ascii="仿宋_GB2312" w:eastAsia="仿宋_GB2312" w:cs="仿宋"/>
          <w:kern w:val="0"/>
          <w:sz w:val="32"/>
          <w:szCs w:val="32"/>
        </w:rPr>
        <w:t>广元市昭化区人民检察院2023预算支出603.31万元，其中；基本支出456.2万元，占75.62%年；项目支出147.11万元，占24.38%。2023年决算支出931.40万元，其中：人员经费578.33万元，公用经费129.92万元；项目支出223.15万元。</w:t>
      </w:r>
    </w:p>
    <w:p w14:paraId="6ACD0970">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（三）结转结余情况。</w:t>
      </w:r>
      <w:r>
        <w:rPr>
          <w:rFonts w:hint="eastAsia" w:ascii="仿宋_GB2312" w:eastAsia="仿宋_GB2312" w:cs="仿宋"/>
          <w:kern w:val="0"/>
          <w:sz w:val="32"/>
          <w:szCs w:val="32"/>
        </w:rPr>
        <w:t>广元市昭化区人民检察院2023年末无资金结余</w:t>
      </w:r>
      <w:r>
        <w:rPr>
          <w:rFonts w:ascii="仿宋_GB2312" w:eastAsia="仿宋_GB2312" w:cs="仿宋"/>
          <w:kern w:val="0"/>
          <w:sz w:val="32"/>
          <w:szCs w:val="32"/>
        </w:rPr>
        <w:t>。</w:t>
      </w:r>
    </w:p>
    <w:p w14:paraId="2A25F85D">
      <w:pPr>
        <w:widowControl/>
        <w:adjustRightInd w:val="0"/>
        <w:snapToGrid w:val="0"/>
        <w:spacing w:line="578" w:lineRule="exact"/>
        <w:ind w:firstLine="640" w:firstLineChars="200"/>
        <w:contextualSpacing/>
        <w:jc w:val="left"/>
        <w:rPr>
          <w:rFonts w:hint="eastAsia" w:ascii="黑体" w:hAnsi="黑体" w:eastAsia="黑体" w:cs="黑体"/>
          <w:kern w:val="0"/>
          <w:sz w:val="32"/>
          <w:szCs w:val="32"/>
        </w:rPr>
      </w:pPr>
      <w:r>
        <w:rPr>
          <w:rFonts w:hint="eastAsia" w:ascii="黑体" w:hAnsi="黑体" w:eastAsia="黑体" w:cs="黑体"/>
          <w:kern w:val="0"/>
          <w:sz w:val="32"/>
          <w:szCs w:val="32"/>
        </w:rPr>
        <w:t>三、部门预算绩效分析</w:t>
      </w:r>
    </w:p>
    <w:p w14:paraId="242DBA50">
      <w:pPr>
        <w:adjustRightInd w:val="0"/>
        <w:snapToGrid w:val="0"/>
        <w:spacing w:line="578" w:lineRule="exact"/>
        <w:ind w:firstLine="640" w:firstLineChars="200"/>
        <w:contextualSpacing/>
        <w:jc w:val="left"/>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（一）部门预算总体绩效分析</w:t>
      </w:r>
    </w:p>
    <w:p w14:paraId="1EC3A3D3">
      <w:pPr>
        <w:spacing w:line="578" w:lineRule="exact"/>
        <w:ind w:firstLine="640" w:firstLineChars="200"/>
        <w:rPr>
          <w:rFonts w:ascii="仿宋_GB2312" w:eastAsia="仿宋_GB2312" w:cs="仿宋"/>
          <w:kern w:val="0"/>
          <w:sz w:val="32"/>
          <w:szCs w:val="32"/>
        </w:rPr>
      </w:pPr>
      <w:r>
        <w:rPr>
          <w:rFonts w:hint="eastAsia" w:ascii="仿宋_GB2312" w:eastAsia="仿宋_GB2312" w:cs="仿宋"/>
          <w:kern w:val="0"/>
          <w:sz w:val="32"/>
          <w:szCs w:val="32"/>
        </w:rPr>
        <w:t>2023年我院整体绩效目标设定为：1.保障刑事、民事、行政诉讼及公益诉讼案件有序开展，全年办案数量不小于200件；2.完成检察办案所需装备购置；3.完成区委区政府及上级检察院交办的其他任务。</w:t>
      </w:r>
    </w:p>
    <w:p w14:paraId="577B5679">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1.履职效能。</w:t>
      </w:r>
      <w:r>
        <w:rPr>
          <w:rFonts w:ascii="仿宋_GB2312" w:eastAsia="仿宋_GB2312" w:cs="仿宋"/>
          <w:kern w:val="0"/>
          <w:sz w:val="32"/>
          <w:szCs w:val="32"/>
        </w:rPr>
        <w:t>全年受理公安机关提请批准逮捕案件27件68人，审查后批准逮捕22件40人；受理移送审查起诉案件136件234人，审查后提起公诉80件144人。牢固树立总体国家安全观，起诉涉政类犯罪案件2件4人；依法打击盗窃、诈骗等多发性侵财犯罪，起诉11件16人；严厉打击电信网络犯罪，起诉29件81人；依法打击涉枪爆犯罪，起诉4件4人；严厉打击毒品犯罪，批准逮捕4件4人。受理移送审查起诉职务犯罪案件8件9人，提起公诉7件8人，区法院作出有罪判决5件6人。严厉打击各类破坏生态资源违法犯罪，起诉5件6人。</w:t>
      </w:r>
      <w:r>
        <w:rPr>
          <w:rFonts w:hint="eastAsia" w:ascii="仿宋_GB2312" w:eastAsia="仿宋_GB2312" w:cs="仿宋"/>
          <w:kern w:val="0"/>
          <w:sz w:val="32"/>
          <w:szCs w:val="32"/>
        </w:rPr>
        <w:t>设定2023年当年办理案件数量、司法救助人数、提高人民群众满意度以及全年整体支出4个核心职能目标，均已完成预期目标。该项目自评15分。</w:t>
      </w:r>
    </w:p>
    <w:p w14:paraId="6EF35C63">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（1）2023年当年办理案件数量：指标分值为5，指标反应2023年办案能力，年初目标为≥200件，实际完成228件。该项自评得分为5分。</w:t>
      </w:r>
    </w:p>
    <w:p w14:paraId="46A30E37">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（2）司法救助人数：指标分值为3，指标反应2023年司法救助人数，年初目标为≥8件，实际完成14人。该项自评得分为3分。</w:t>
      </w:r>
    </w:p>
    <w:p w14:paraId="637E5D17">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（3）提高人民群众满意度：指标分值为4，指标反应2023年群众满意程度，年初目标为≥90%，实际为90%。该项自评得分为4分。</w:t>
      </w:r>
    </w:p>
    <w:p w14:paraId="347C877B">
      <w:pPr>
        <w:adjustRightInd w:val="0"/>
        <w:snapToGrid w:val="0"/>
        <w:spacing w:line="578" w:lineRule="exact"/>
        <w:ind w:firstLine="640" w:firstLineChars="200"/>
        <w:contextualSpacing/>
        <w:jc w:val="left"/>
        <w:rPr>
          <w:rFonts w:ascii="仿宋_GB2312" w:eastAsia="仿宋_GB2312" w:cs="仿宋"/>
          <w:kern w:val="0"/>
          <w:sz w:val="32"/>
          <w:szCs w:val="32"/>
        </w:rPr>
      </w:pPr>
      <w:r>
        <w:rPr>
          <w:rFonts w:ascii="仿宋_GB2312" w:eastAsia="仿宋_GB2312" w:cs="仿宋"/>
          <w:kern w:val="0"/>
          <w:sz w:val="32"/>
          <w:szCs w:val="32"/>
        </w:rPr>
        <w:t>（4）</w:t>
      </w:r>
      <w:r>
        <w:rPr>
          <w:rFonts w:hint="eastAsia" w:ascii="仿宋_GB2312" w:eastAsia="仿宋_GB2312" w:cs="仿宋"/>
          <w:kern w:val="0"/>
          <w:sz w:val="32"/>
          <w:szCs w:val="32"/>
        </w:rPr>
        <w:t>全年整体支出：指标分值为3，指标反应2023年预算资金使用率，年初目标为≥90%，实际为100%。该项自评得分为3分。</w:t>
      </w:r>
    </w:p>
    <w:p w14:paraId="23FD43B4">
      <w:pPr>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仿宋_GB2312" w:eastAsia="仿宋_GB2312" w:cs="仿宋"/>
          <w:kern w:val="0"/>
          <w:sz w:val="32"/>
          <w:szCs w:val="32"/>
        </w:rPr>
        <w:t>2.</w:t>
      </w:r>
      <w:r>
        <w:rPr>
          <w:rFonts w:ascii="仿宋_GB2312" w:eastAsia="仿宋_GB2312" w:cs="仿宋"/>
          <w:kern w:val="0"/>
          <w:sz w:val="32"/>
          <w:szCs w:val="32"/>
        </w:rPr>
        <w:t>预算管理</w:t>
      </w:r>
      <w:r>
        <w:rPr>
          <w:rFonts w:hint="eastAsia" w:ascii="仿宋_GB2312" w:eastAsia="仿宋_GB2312" w:cs="仿宋"/>
          <w:kern w:val="0"/>
          <w:sz w:val="32"/>
          <w:szCs w:val="32"/>
        </w:rPr>
        <w:t>。设定预算编制质量、单位收入统筹、支出执行进度、预算年终结余、严控一般性支出5个三级指标，均已完成预期目标。该项目自评21分。</w:t>
      </w:r>
    </w:p>
    <w:p w14:paraId="0F63CFB9">
      <w:pPr>
        <w:adjustRightInd w:val="0"/>
        <w:snapToGrid w:val="0"/>
        <w:spacing w:line="578" w:lineRule="exact"/>
        <w:ind w:firstLine="640" w:firstLineChars="200"/>
        <w:contextualSpacing/>
        <w:jc w:val="left"/>
        <w:rPr>
          <w:rFonts w:ascii="仿宋_GB2312" w:eastAsia="仿宋_GB2312" w:cs="仿宋"/>
          <w:kern w:val="0"/>
          <w:sz w:val="32"/>
          <w:szCs w:val="32"/>
        </w:rPr>
      </w:pPr>
      <w:r>
        <w:rPr>
          <w:rFonts w:ascii="仿宋_GB2312" w:eastAsia="仿宋_GB2312" w:cs="仿宋"/>
          <w:kern w:val="0"/>
          <w:sz w:val="32"/>
          <w:szCs w:val="32"/>
        </w:rPr>
        <w:t>（</w:t>
      </w:r>
      <w:r>
        <w:rPr>
          <w:rFonts w:hint="eastAsia" w:ascii="仿宋_GB2312" w:eastAsia="仿宋_GB2312" w:cs="仿宋"/>
          <w:kern w:val="0"/>
          <w:sz w:val="32"/>
          <w:szCs w:val="32"/>
        </w:rPr>
        <w:t>1</w:t>
      </w:r>
      <w:r>
        <w:rPr>
          <w:rFonts w:ascii="仿宋_GB2312" w:eastAsia="仿宋_GB2312" w:cs="仿宋"/>
          <w:kern w:val="0"/>
          <w:sz w:val="32"/>
          <w:szCs w:val="32"/>
        </w:rPr>
        <w:t>）</w:t>
      </w:r>
      <w:r>
        <w:rPr>
          <w:rFonts w:hint="eastAsia" w:ascii="仿宋_GB2312" w:eastAsia="仿宋_GB2312" w:cs="仿宋"/>
          <w:kern w:val="0"/>
          <w:sz w:val="32"/>
          <w:szCs w:val="32"/>
        </w:rPr>
        <w:t>预算编制质量：严格按照要求编制年初部门预算，编制具有科学性和准确性。该项自评得分为8分。</w:t>
      </w:r>
    </w:p>
    <w:p w14:paraId="419D5193">
      <w:pPr>
        <w:adjustRightInd w:val="0"/>
        <w:snapToGrid w:val="0"/>
        <w:spacing w:line="578" w:lineRule="exact"/>
        <w:ind w:firstLine="640" w:firstLineChars="200"/>
        <w:contextualSpacing/>
        <w:jc w:val="left"/>
        <w:rPr>
          <w:rFonts w:ascii="仿宋_GB2312" w:eastAsia="仿宋_GB2312" w:cs="仿宋"/>
          <w:kern w:val="0"/>
          <w:sz w:val="32"/>
          <w:szCs w:val="32"/>
        </w:rPr>
      </w:pPr>
      <w:r>
        <w:rPr>
          <w:rFonts w:ascii="仿宋_GB2312" w:eastAsia="仿宋_GB2312" w:cs="仿宋"/>
          <w:kern w:val="0"/>
          <w:sz w:val="32"/>
          <w:szCs w:val="32"/>
        </w:rPr>
        <w:t>（</w:t>
      </w:r>
      <w:r>
        <w:rPr>
          <w:rFonts w:hint="eastAsia" w:ascii="仿宋_GB2312" w:eastAsia="仿宋_GB2312" w:cs="仿宋"/>
          <w:kern w:val="0"/>
          <w:sz w:val="32"/>
          <w:szCs w:val="32"/>
        </w:rPr>
        <w:t>2</w:t>
      </w:r>
      <w:r>
        <w:rPr>
          <w:rFonts w:ascii="仿宋_GB2312" w:eastAsia="仿宋_GB2312" w:cs="仿宋"/>
          <w:kern w:val="0"/>
          <w:sz w:val="32"/>
          <w:szCs w:val="32"/>
        </w:rPr>
        <w:t>）</w:t>
      </w:r>
      <w:r>
        <w:rPr>
          <w:rFonts w:hint="eastAsia" w:ascii="仿宋_GB2312" w:eastAsia="仿宋_GB2312" w:cs="仿宋"/>
          <w:kern w:val="0"/>
          <w:sz w:val="32"/>
          <w:szCs w:val="32"/>
        </w:rPr>
        <w:t>单位收入统筹：单位不涉及自有收入。该项自评不得分。</w:t>
      </w:r>
    </w:p>
    <w:p w14:paraId="62CD9FF5">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（3）支出执行进度：支出执行进度合理，无预警金额。该项自评得分为6分。</w:t>
      </w:r>
    </w:p>
    <w:p w14:paraId="29FF76D1">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（4）预算年终结余：预算年终无结余。该项自评得分为2分。</w:t>
      </w:r>
    </w:p>
    <w:p w14:paraId="7AD3CDAC">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（5）严控一般性支出：我院严控“三公”经费、会议、培训、差旅等一般性支出，不存在超支问题。该项自评得分为5分。</w:t>
      </w:r>
    </w:p>
    <w:p w14:paraId="1FD7BE09">
      <w:pPr>
        <w:spacing w:line="576" w:lineRule="exact"/>
        <w:ind w:firstLine="640"/>
        <w:rPr>
          <w:rFonts w:hint="eastAsia" w:ascii="仿宋_GB2312" w:eastAsia="仿宋_GB2312" w:cs="仿宋"/>
          <w:kern w:val="0"/>
          <w:sz w:val="32"/>
          <w:szCs w:val="32"/>
        </w:rPr>
      </w:pPr>
      <w:r>
        <w:rPr>
          <w:rFonts w:hint="eastAsia" w:ascii="仿宋_GB2312" w:eastAsia="仿宋_GB2312" w:cs="仿宋"/>
          <w:kern w:val="0"/>
          <w:sz w:val="32"/>
          <w:szCs w:val="32"/>
        </w:rPr>
        <w:t>3.</w:t>
      </w:r>
      <w:r>
        <w:rPr>
          <w:rFonts w:ascii="仿宋_GB2312" w:eastAsia="仿宋_GB2312" w:cs="仿宋"/>
          <w:kern w:val="0"/>
          <w:sz w:val="32"/>
          <w:szCs w:val="32"/>
        </w:rPr>
        <w:t>财务管理</w:t>
      </w:r>
      <w:r>
        <w:rPr>
          <w:rFonts w:hint="eastAsia" w:ascii="仿宋_GB2312" w:eastAsia="仿宋_GB2312" w:cs="仿宋"/>
          <w:kern w:val="0"/>
          <w:sz w:val="32"/>
          <w:szCs w:val="32"/>
        </w:rPr>
        <w:t>。财务管理制度健全，执行严格合规；财务岗位设置合理；资金使用符合相关财务管理制度规定。该项目自评10分。</w:t>
      </w:r>
    </w:p>
    <w:p w14:paraId="534D1194">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（1）财务管理制度：规章制度建立健全，制度执行严格合规，会计核算符合相关规定。该项自评得分为4分。</w:t>
      </w:r>
    </w:p>
    <w:p w14:paraId="017F4068">
      <w:pPr>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仿宋_GB2312" w:eastAsia="仿宋_GB2312" w:cs="仿宋"/>
          <w:kern w:val="0"/>
          <w:sz w:val="32"/>
          <w:szCs w:val="32"/>
        </w:rPr>
        <w:t>（2）财务岗位设置：设置财务负责人负责整个检察院财务工作的规划、组织、监督和管理，确保财务工作的合规性和高效性；会计负责日常的会计核算工作，包括账务处理、凭证录入、账簿登记、财务报表编制等，确保会计信息的准确性和完整性；出纳负责现金和银行存款的收付、保管和记录工作，确保资金的安全和准确。该项自评得分为2分。</w:t>
      </w:r>
    </w:p>
    <w:p w14:paraId="407A28D0">
      <w:pPr>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仿宋_GB2312" w:eastAsia="仿宋_GB2312" w:cs="仿宋"/>
          <w:kern w:val="0"/>
          <w:sz w:val="32"/>
          <w:szCs w:val="32"/>
        </w:rPr>
        <w:t>（3）资金使用规范：严格按照有关规定，加强对财政各项资金的监督管理，确保资金及时、足额到位，专款专用，资金支付依据和开支标准合法合规，未出现截留和挤占挪作他用的现象；严格执行财政集中支付制度，按规定使用公务卡，严格控制现金支付方式；按时上交账户年检表。该项自评得分为4分。</w:t>
      </w:r>
    </w:p>
    <w:p w14:paraId="46ACF28E">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4.</w:t>
      </w:r>
      <w:r>
        <w:rPr>
          <w:rFonts w:ascii="仿宋_GB2312" w:eastAsia="仿宋_GB2312" w:cs="仿宋"/>
          <w:kern w:val="0"/>
          <w:sz w:val="32"/>
          <w:szCs w:val="32"/>
        </w:rPr>
        <w:t>资产管理</w:t>
      </w:r>
      <w:r>
        <w:rPr>
          <w:rFonts w:hint="eastAsia" w:ascii="仿宋_GB2312" w:eastAsia="仿宋_GB2312" w:cs="仿宋"/>
          <w:kern w:val="0"/>
          <w:sz w:val="32"/>
          <w:szCs w:val="32"/>
        </w:rPr>
        <w:t>。我院制定了相应的资产管理制度，加强资产管理，在各项资产粘贴固定资产标签。该项目自评7.2分。</w:t>
      </w:r>
    </w:p>
    <w:p w14:paraId="4C2FFBFE">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（1）人均资产变化率：我院人均资产变化率为18.13%，人均资产增长率为4.58%。该项自评2.4分。</w:t>
      </w:r>
    </w:p>
    <w:p w14:paraId="1D061A19">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（2）资产利用率：办公家具超最低使用年限资产利用率为18.13%，办公设备超最低使用年限资产利用率为46.32%。该项自评2.4分。</w:t>
      </w:r>
    </w:p>
    <w:p w14:paraId="671D18F7">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（3）资产盘活率：闲置资产占比变化率为53%。该项自评2.4分。</w:t>
      </w:r>
    </w:p>
    <w:p w14:paraId="1BBAD087">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5.</w:t>
      </w:r>
      <w:r>
        <w:rPr>
          <w:rFonts w:ascii="仿宋_GB2312" w:eastAsia="仿宋_GB2312" w:cs="仿宋"/>
          <w:kern w:val="0"/>
          <w:sz w:val="32"/>
          <w:szCs w:val="32"/>
        </w:rPr>
        <w:t>采购管理</w:t>
      </w:r>
      <w:r>
        <w:rPr>
          <w:rFonts w:hint="eastAsia" w:ascii="仿宋_GB2312" w:eastAsia="仿宋_GB2312" w:cs="仿宋"/>
          <w:kern w:val="0"/>
          <w:sz w:val="32"/>
          <w:szCs w:val="32"/>
        </w:rPr>
        <w:t>。我院严格执行政府采购管理办法。该项目自评6分。</w:t>
      </w:r>
    </w:p>
    <w:p w14:paraId="70610E2C">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（1）支持中小企业发展：严格执行政府采购促进中小企业发展相关管理办法。该项自评3分。</w:t>
      </w:r>
    </w:p>
    <w:p w14:paraId="0960B135">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（2）采购执行率：及时支付采购项目资金。该项自评3分。</w:t>
      </w:r>
    </w:p>
    <w:p w14:paraId="4324765B">
      <w:pPr>
        <w:widowControl/>
        <w:adjustRightInd w:val="0"/>
        <w:snapToGrid w:val="0"/>
        <w:spacing w:line="578" w:lineRule="exact"/>
        <w:ind w:firstLine="640" w:firstLineChars="200"/>
        <w:contextualSpacing/>
        <w:jc w:val="left"/>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（二）部门预算项目绩效分析</w:t>
      </w:r>
    </w:p>
    <w:p w14:paraId="600DD86F">
      <w:pPr>
        <w:adjustRightInd w:val="0"/>
        <w:snapToGrid w:val="0"/>
        <w:spacing w:line="578" w:lineRule="exact"/>
        <w:ind w:firstLine="640" w:firstLineChars="200"/>
        <w:contextualSpacing/>
        <w:jc w:val="left"/>
        <w:rPr>
          <w:rFonts w:ascii="仿宋_GB2312" w:eastAsia="仿宋_GB2312" w:cs="仿宋"/>
          <w:kern w:val="0"/>
          <w:sz w:val="32"/>
          <w:szCs w:val="32"/>
        </w:rPr>
      </w:pPr>
      <w:r>
        <w:rPr>
          <w:rFonts w:ascii="仿宋_GB2312" w:eastAsia="仿宋_GB2312" w:cs="仿宋"/>
          <w:kern w:val="0"/>
          <w:sz w:val="32"/>
          <w:szCs w:val="32"/>
        </w:rPr>
        <w:t>项目总数</w:t>
      </w:r>
      <w:r>
        <w:rPr>
          <w:rFonts w:hint="eastAsia" w:ascii="仿宋_GB2312" w:eastAsia="仿宋_GB2312" w:cs="仿宋"/>
          <w:kern w:val="0"/>
          <w:sz w:val="32"/>
          <w:szCs w:val="32"/>
        </w:rPr>
        <w:t>9</w:t>
      </w:r>
      <w:r>
        <w:rPr>
          <w:rFonts w:ascii="仿宋_GB2312" w:eastAsia="仿宋_GB2312" w:cs="仿宋"/>
          <w:kern w:val="0"/>
          <w:sz w:val="32"/>
          <w:szCs w:val="32"/>
        </w:rPr>
        <w:t>个，涉及预算总金额</w:t>
      </w:r>
      <w:r>
        <w:rPr>
          <w:rFonts w:hint="eastAsia" w:ascii="仿宋_GB2312" w:eastAsia="仿宋_GB2312" w:cs="仿宋"/>
          <w:kern w:val="0"/>
          <w:sz w:val="32"/>
          <w:szCs w:val="32"/>
        </w:rPr>
        <w:t>193.22</w:t>
      </w:r>
      <w:r>
        <w:rPr>
          <w:rFonts w:ascii="仿宋_GB2312" w:eastAsia="仿宋_GB2312" w:cs="仿宋"/>
          <w:kern w:val="0"/>
          <w:sz w:val="32"/>
          <w:szCs w:val="32"/>
        </w:rPr>
        <w:t>万元，1</w:t>
      </w:r>
      <w:r>
        <w:rPr>
          <w:rFonts w:hint="eastAsia" w:ascii="仿宋_GB2312" w:eastAsia="仿宋_GB2312" w:cs="仿宋"/>
          <w:kern w:val="0"/>
          <w:sz w:val="32"/>
          <w:szCs w:val="32"/>
        </w:rPr>
        <w:t>—</w:t>
      </w:r>
      <w:r>
        <w:rPr>
          <w:rFonts w:ascii="仿宋_GB2312" w:eastAsia="仿宋_GB2312" w:cs="仿宋"/>
          <w:kern w:val="0"/>
          <w:sz w:val="32"/>
          <w:szCs w:val="32"/>
        </w:rPr>
        <w:t>12月</w:t>
      </w:r>
      <w:r>
        <w:rPr>
          <w:rFonts w:hint="eastAsia" w:ascii="仿宋_GB2312" w:eastAsia="仿宋_GB2312" w:cs="仿宋"/>
          <w:kern w:val="0"/>
          <w:sz w:val="32"/>
          <w:szCs w:val="32"/>
        </w:rPr>
        <w:t>支付数为170.49</w:t>
      </w:r>
      <w:r>
        <w:rPr>
          <w:rFonts w:ascii="仿宋_GB2312" w:eastAsia="仿宋_GB2312" w:cs="仿宋"/>
          <w:kern w:val="0"/>
          <w:sz w:val="32"/>
          <w:szCs w:val="32"/>
        </w:rPr>
        <w:t>万元</w:t>
      </w:r>
      <w:r>
        <w:rPr>
          <w:rFonts w:hint="eastAsia" w:ascii="仿宋_GB2312" w:eastAsia="仿宋_GB2312" w:cs="仿宋"/>
          <w:kern w:val="0"/>
          <w:sz w:val="32"/>
          <w:szCs w:val="32"/>
        </w:rPr>
        <w:t>，</w:t>
      </w:r>
      <w:r>
        <w:rPr>
          <w:rFonts w:ascii="仿宋_GB2312" w:eastAsia="仿宋_GB2312" w:cs="仿宋"/>
          <w:kern w:val="0"/>
          <w:sz w:val="32"/>
          <w:szCs w:val="32"/>
        </w:rPr>
        <w:t>预算执行总体进度为</w:t>
      </w:r>
      <w:r>
        <w:rPr>
          <w:rFonts w:hint="eastAsia" w:ascii="仿宋_GB2312" w:eastAsia="仿宋_GB2312" w:cs="仿宋"/>
          <w:kern w:val="0"/>
          <w:sz w:val="32"/>
          <w:szCs w:val="32"/>
        </w:rPr>
        <w:t>88.24</w:t>
      </w:r>
      <w:r>
        <w:rPr>
          <w:rFonts w:ascii="仿宋_GB2312" w:eastAsia="仿宋_GB2312" w:cs="仿宋"/>
          <w:kern w:val="0"/>
          <w:sz w:val="32"/>
          <w:szCs w:val="32"/>
        </w:rPr>
        <w:t>%，其中：预算结余率大于10%的项目共计</w:t>
      </w:r>
      <w:r>
        <w:rPr>
          <w:rFonts w:hint="eastAsia" w:ascii="仿宋_GB2312" w:eastAsia="仿宋_GB2312" w:cs="仿宋"/>
          <w:kern w:val="0"/>
          <w:sz w:val="32"/>
          <w:szCs w:val="32"/>
        </w:rPr>
        <w:t>2</w:t>
      </w:r>
      <w:r>
        <w:rPr>
          <w:rFonts w:ascii="仿宋_GB2312" w:eastAsia="仿宋_GB2312" w:cs="仿宋"/>
          <w:kern w:val="0"/>
          <w:sz w:val="32"/>
          <w:szCs w:val="32"/>
        </w:rPr>
        <w:t>个。</w:t>
      </w:r>
    </w:p>
    <w:p w14:paraId="5AF94D64">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项目决策。预算项目设立按规定履行评估论证、申报程序；预算项目绩效目标与计划期内的任务量、预算安排的资金量匹配，绩效目标设置科学合理、规范完整、量化细化、预算匹配；预算项目在规定时间完成项目入库。该项目自评12分。</w:t>
      </w:r>
    </w:p>
    <w:p w14:paraId="13F8057D">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（1）决策程序：预算项目设立按规定履行评估论证、申报程序。该项自评4分。</w:t>
      </w:r>
    </w:p>
    <w:p w14:paraId="12FEB914">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（2）目标设置：预算项目绩效目标与计划期内的任务量、预算安排的资金量匹配，绩效目标设置科学合理、规范完整、量化细化、预算匹配。该项自评4分。</w:t>
      </w:r>
    </w:p>
    <w:p w14:paraId="5D368C4F">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（3）项目入库：预算项目在规定时间完成项目入库。该项自评4分。</w:t>
      </w:r>
    </w:p>
    <w:p w14:paraId="3F73526D">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2.项目执行。预算项目实际列支内容与绩效目标设置方向相符，</w:t>
      </w:r>
      <w:r>
        <w:rPr>
          <w:rFonts w:ascii="仿宋_GB2312" w:eastAsia="仿宋_GB2312" w:cs="仿宋"/>
          <w:kern w:val="0"/>
          <w:sz w:val="32"/>
          <w:szCs w:val="32"/>
        </w:rPr>
        <w:t>项目总数</w:t>
      </w:r>
      <w:r>
        <w:rPr>
          <w:rFonts w:hint="eastAsia" w:ascii="仿宋_GB2312" w:eastAsia="仿宋_GB2312" w:cs="仿宋"/>
          <w:kern w:val="0"/>
          <w:sz w:val="32"/>
          <w:szCs w:val="32"/>
        </w:rPr>
        <w:t>9</w:t>
      </w:r>
      <w:r>
        <w:rPr>
          <w:rFonts w:ascii="仿宋_GB2312" w:eastAsia="仿宋_GB2312" w:cs="仿宋"/>
          <w:kern w:val="0"/>
          <w:sz w:val="32"/>
          <w:szCs w:val="32"/>
        </w:rPr>
        <w:t>个，涉及预算总金额</w:t>
      </w:r>
      <w:r>
        <w:rPr>
          <w:rFonts w:hint="eastAsia" w:ascii="仿宋_GB2312" w:eastAsia="仿宋_GB2312" w:cs="仿宋"/>
          <w:kern w:val="0"/>
          <w:sz w:val="32"/>
          <w:szCs w:val="32"/>
        </w:rPr>
        <w:t>193.22</w:t>
      </w:r>
      <w:r>
        <w:rPr>
          <w:rFonts w:ascii="仿宋_GB2312" w:eastAsia="仿宋_GB2312" w:cs="仿宋"/>
          <w:kern w:val="0"/>
          <w:sz w:val="32"/>
          <w:szCs w:val="32"/>
        </w:rPr>
        <w:t>万元，1</w:t>
      </w:r>
      <w:r>
        <w:rPr>
          <w:rFonts w:hint="eastAsia" w:ascii="仿宋_GB2312" w:eastAsia="仿宋_GB2312" w:cs="仿宋"/>
          <w:kern w:val="0"/>
          <w:sz w:val="32"/>
          <w:szCs w:val="32"/>
        </w:rPr>
        <w:t>—</w:t>
      </w:r>
      <w:r>
        <w:rPr>
          <w:rFonts w:ascii="仿宋_GB2312" w:eastAsia="仿宋_GB2312" w:cs="仿宋"/>
          <w:kern w:val="0"/>
          <w:sz w:val="32"/>
          <w:szCs w:val="32"/>
        </w:rPr>
        <w:t>12月</w:t>
      </w:r>
      <w:r>
        <w:rPr>
          <w:rFonts w:hint="eastAsia" w:ascii="仿宋_GB2312" w:eastAsia="仿宋_GB2312" w:cs="仿宋"/>
          <w:kern w:val="0"/>
          <w:sz w:val="32"/>
          <w:szCs w:val="32"/>
        </w:rPr>
        <w:t>支付数为170.49</w:t>
      </w:r>
      <w:r>
        <w:rPr>
          <w:rFonts w:ascii="仿宋_GB2312" w:eastAsia="仿宋_GB2312" w:cs="仿宋"/>
          <w:kern w:val="0"/>
          <w:sz w:val="32"/>
          <w:szCs w:val="32"/>
        </w:rPr>
        <w:t>万元</w:t>
      </w:r>
      <w:r>
        <w:rPr>
          <w:rFonts w:hint="eastAsia" w:ascii="仿宋_GB2312" w:eastAsia="仿宋_GB2312" w:cs="仿宋"/>
          <w:kern w:val="0"/>
          <w:sz w:val="32"/>
          <w:szCs w:val="32"/>
        </w:rPr>
        <w:t>，</w:t>
      </w:r>
      <w:r>
        <w:rPr>
          <w:rFonts w:ascii="仿宋_GB2312" w:eastAsia="仿宋_GB2312" w:cs="仿宋"/>
          <w:kern w:val="0"/>
          <w:sz w:val="32"/>
          <w:szCs w:val="32"/>
        </w:rPr>
        <w:t>预算执行总体进度为</w:t>
      </w:r>
      <w:r>
        <w:rPr>
          <w:rFonts w:hint="eastAsia" w:ascii="仿宋_GB2312" w:eastAsia="仿宋_GB2312" w:cs="仿宋"/>
          <w:kern w:val="0"/>
          <w:sz w:val="32"/>
          <w:szCs w:val="32"/>
        </w:rPr>
        <w:t>88.24</w:t>
      </w:r>
      <w:r>
        <w:rPr>
          <w:rFonts w:ascii="仿宋_GB2312" w:eastAsia="仿宋_GB2312" w:cs="仿宋"/>
          <w:kern w:val="0"/>
          <w:sz w:val="32"/>
          <w:szCs w:val="32"/>
        </w:rPr>
        <w:t>%</w:t>
      </w:r>
      <w:r>
        <w:rPr>
          <w:rFonts w:hint="eastAsia" w:ascii="仿宋_GB2312" w:eastAsia="仿宋_GB2312" w:cs="仿宋"/>
          <w:kern w:val="0"/>
          <w:sz w:val="32"/>
          <w:szCs w:val="32"/>
        </w:rPr>
        <w:t>。该项目自评11.11分。</w:t>
      </w:r>
    </w:p>
    <w:p w14:paraId="42AF3188">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（1）执行同向：预算项目实际列支内容与绩效目标设置方向相符。该项自评4分。</w:t>
      </w:r>
    </w:p>
    <w:p w14:paraId="3132A50C">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（2）项目调整：部门预算项目采取对应调整措施，使预算执行更合理。该项自评4分。</w:t>
      </w:r>
    </w:p>
    <w:p w14:paraId="1180FF29">
      <w:pPr>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仿宋_GB2312" w:eastAsia="仿宋_GB2312" w:cs="仿宋"/>
          <w:kern w:val="0"/>
          <w:sz w:val="32"/>
          <w:szCs w:val="32"/>
        </w:rPr>
        <w:t>（3）执行结果：</w:t>
      </w:r>
      <w:r>
        <w:rPr>
          <w:rFonts w:ascii="仿宋_GB2312" w:eastAsia="仿宋_GB2312" w:cs="仿宋"/>
          <w:kern w:val="0"/>
          <w:sz w:val="32"/>
          <w:szCs w:val="32"/>
        </w:rPr>
        <w:t>项目总数</w:t>
      </w:r>
      <w:r>
        <w:rPr>
          <w:rFonts w:hint="eastAsia" w:ascii="仿宋_GB2312" w:eastAsia="仿宋_GB2312" w:cs="仿宋"/>
          <w:kern w:val="0"/>
          <w:sz w:val="32"/>
          <w:szCs w:val="32"/>
        </w:rPr>
        <w:t>9</w:t>
      </w:r>
      <w:r>
        <w:rPr>
          <w:rFonts w:ascii="仿宋_GB2312" w:eastAsia="仿宋_GB2312" w:cs="仿宋"/>
          <w:kern w:val="0"/>
          <w:sz w:val="32"/>
          <w:szCs w:val="32"/>
        </w:rPr>
        <w:t>个，</w:t>
      </w:r>
      <w:r>
        <w:rPr>
          <w:rFonts w:hint="eastAsia" w:ascii="仿宋_GB2312" w:eastAsia="仿宋_GB2312" w:cs="仿宋"/>
          <w:kern w:val="0"/>
          <w:sz w:val="32"/>
          <w:szCs w:val="32"/>
        </w:rPr>
        <w:t>预算结余率小于10%的项目数量为7，项目</w:t>
      </w:r>
      <w:r>
        <w:rPr>
          <w:rFonts w:ascii="仿宋_GB2312" w:eastAsia="仿宋_GB2312" w:cs="仿宋"/>
          <w:kern w:val="0"/>
          <w:sz w:val="32"/>
          <w:szCs w:val="32"/>
        </w:rPr>
        <w:t>涉及预算总金额</w:t>
      </w:r>
      <w:r>
        <w:rPr>
          <w:rFonts w:hint="eastAsia" w:ascii="仿宋_GB2312" w:eastAsia="仿宋_GB2312" w:cs="仿宋"/>
          <w:kern w:val="0"/>
          <w:sz w:val="32"/>
          <w:szCs w:val="32"/>
        </w:rPr>
        <w:t>193.22</w:t>
      </w:r>
      <w:r>
        <w:rPr>
          <w:rFonts w:ascii="仿宋_GB2312" w:eastAsia="仿宋_GB2312" w:cs="仿宋"/>
          <w:kern w:val="0"/>
          <w:sz w:val="32"/>
          <w:szCs w:val="32"/>
        </w:rPr>
        <w:t>万元，1</w:t>
      </w:r>
      <w:r>
        <w:rPr>
          <w:rFonts w:hint="eastAsia" w:ascii="仿宋_GB2312" w:eastAsia="仿宋_GB2312" w:cs="仿宋"/>
          <w:kern w:val="0"/>
          <w:sz w:val="32"/>
          <w:szCs w:val="32"/>
        </w:rPr>
        <w:t>—</w:t>
      </w:r>
      <w:r>
        <w:rPr>
          <w:rFonts w:ascii="仿宋_GB2312" w:eastAsia="仿宋_GB2312" w:cs="仿宋"/>
          <w:kern w:val="0"/>
          <w:sz w:val="32"/>
          <w:szCs w:val="32"/>
        </w:rPr>
        <w:t>12月</w:t>
      </w:r>
      <w:r>
        <w:rPr>
          <w:rFonts w:hint="eastAsia" w:ascii="仿宋_GB2312" w:eastAsia="仿宋_GB2312" w:cs="仿宋"/>
          <w:kern w:val="0"/>
          <w:sz w:val="32"/>
          <w:szCs w:val="32"/>
        </w:rPr>
        <w:t>支付数为170.49</w:t>
      </w:r>
      <w:r>
        <w:rPr>
          <w:rFonts w:ascii="仿宋_GB2312" w:eastAsia="仿宋_GB2312" w:cs="仿宋"/>
          <w:kern w:val="0"/>
          <w:sz w:val="32"/>
          <w:szCs w:val="32"/>
        </w:rPr>
        <w:t>万元</w:t>
      </w:r>
      <w:r>
        <w:rPr>
          <w:rFonts w:hint="eastAsia" w:ascii="仿宋_GB2312" w:eastAsia="仿宋_GB2312" w:cs="仿宋"/>
          <w:kern w:val="0"/>
          <w:sz w:val="32"/>
          <w:szCs w:val="32"/>
        </w:rPr>
        <w:t>，</w:t>
      </w:r>
      <w:r>
        <w:rPr>
          <w:rFonts w:ascii="仿宋_GB2312" w:eastAsia="仿宋_GB2312" w:cs="仿宋"/>
          <w:kern w:val="0"/>
          <w:sz w:val="32"/>
          <w:szCs w:val="32"/>
        </w:rPr>
        <w:t>预算执行总体进度为</w:t>
      </w:r>
      <w:r>
        <w:rPr>
          <w:rFonts w:hint="eastAsia" w:ascii="仿宋_GB2312" w:eastAsia="仿宋_GB2312" w:cs="仿宋"/>
          <w:kern w:val="0"/>
          <w:sz w:val="32"/>
          <w:szCs w:val="32"/>
        </w:rPr>
        <w:t>88.24</w:t>
      </w:r>
      <w:r>
        <w:rPr>
          <w:rFonts w:ascii="仿宋_GB2312" w:eastAsia="仿宋_GB2312" w:cs="仿宋"/>
          <w:kern w:val="0"/>
          <w:sz w:val="32"/>
          <w:szCs w:val="32"/>
        </w:rPr>
        <w:t>%</w:t>
      </w:r>
      <w:r>
        <w:rPr>
          <w:rFonts w:hint="eastAsia" w:ascii="仿宋_GB2312" w:eastAsia="仿宋_GB2312" w:cs="仿宋"/>
          <w:kern w:val="0"/>
          <w:sz w:val="32"/>
          <w:szCs w:val="32"/>
        </w:rPr>
        <w:t>。该项自评3.11分。</w:t>
      </w:r>
    </w:p>
    <w:p w14:paraId="788C3C9D">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3.目标实现。</w:t>
      </w:r>
      <w:r>
        <w:rPr>
          <w:rFonts w:ascii="仿宋_GB2312" w:eastAsia="仿宋_GB2312" w:cs="仿宋"/>
          <w:kern w:val="0"/>
          <w:sz w:val="32"/>
          <w:szCs w:val="32"/>
        </w:rPr>
        <w:t>我院202</w:t>
      </w:r>
      <w:r>
        <w:rPr>
          <w:rFonts w:hint="eastAsia" w:ascii="仿宋_GB2312" w:eastAsia="仿宋_GB2312" w:cs="仿宋"/>
          <w:kern w:val="0"/>
          <w:sz w:val="32"/>
          <w:szCs w:val="32"/>
        </w:rPr>
        <w:t>3</w:t>
      </w:r>
      <w:r>
        <w:rPr>
          <w:rFonts w:ascii="仿宋_GB2312" w:eastAsia="仿宋_GB2312" w:cs="仿宋"/>
          <w:kern w:val="0"/>
          <w:sz w:val="32"/>
          <w:szCs w:val="32"/>
        </w:rPr>
        <w:t>年整体绩效目标完成情况良好</w:t>
      </w:r>
      <w:r>
        <w:rPr>
          <w:rFonts w:hint="eastAsia" w:ascii="仿宋_GB2312" w:eastAsia="仿宋_GB2312" w:cs="仿宋"/>
          <w:kern w:val="0"/>
          <w:sz w:val="32"/>
          <w:szCs w:val="32"/>
        </w:rPr>
        <w:t>，不存在目标偏离，达到了预期效果。该项目自评11分。</w:t>
      </w:r>
    </w:p>
    <w:p w14:paraId="6BB272B4">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（1）目标完成：部门预算项目绩效目标均已完成。该项自评4分。</w:t>
      </w:r>
    </w:p>
    <w:p w14:paraId="5DD5D309">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（2）目标偏离：不存在目标偏离。该项自评4分。</w:t>
      </w:r>
    </w:p>
    <w:p w14:paraId="1B95C8D4">
      <w:pPr>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仿宋_GB2312" w:eastAsia="仿宋_GB2312" w:cs="仿宋"/>
          <w:kern w:val="0"/>
          <w:sz w:val="32"/>
          <w:szCs w:val="32"/>
        </w:rPr>
        <w:t>（3）实现效果：达到了项目预期设定的效果。该项自评3分。</w:t>
      </w:r>
    </w:p>
    <w:p w14:paraId="45E837F7">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（三）重点领域绩效分析。</w:t>
      </w:r>
      <w:r>
        <w:rPr>
          <w:rFonts w:hint="eastAsia" w:ascii="仿宋_GB2312" w:eastAsia="仿宋_GB2312" w:cs="仿宋"/>
          <w:kern w:val="0"/>
          <w:sz w:val="32"/>
          <w:szCs w:val="32"/>
        </w:rPr>
        <w:t>我院2023年度不</w:t>
      </w:r>
      <w:r>
        <w:rPr>
          <w:rFonts w:ascii="仿宋_GB2312" w:eastAsia="仿宋_GB2312" w:cs="仿宋"/>
          <w:kern w:val="0"/>
          <w:sz w:val="32"/>
          <w:szCs w:val="32"/>
        </w:rPr>
        <w:t>涉及国有资本、行政事业性国有资产、债券资金、政府采购和政府购买服务等重点领域</w:t>
      </w:r>
      <w:r>
        <w:rPr>
          <w:rFonts w:hint="eastAsia" w:ascii="仿宋_GB2312" w:eastAsia="仿宋_GB2312" w:cs="仿宋"/>
          <w:kern w:val="0"/>
          <w:sz w:val="32"/>
          <w:szCs w:val="32"/>
        </w:rPr>
        <w:t>。自评不得分。</w:t>
      </w:r>
    </w:p>
    <w:p w14:paraId="7213E50D">
      <w:pPr>
        <w:snapToGrid w:val="0"/>
        <w:spacing w:line="600" w:lineRule="exact"/>
        <w:ind w:firstLine="640" w:firstLineChars="200"/>
        <w:rPr>
          <w:rFonts w:ascii="仿宋_GB2312" w:eastAsia="仿宋_GB2312" w:cs="仿宋"/>
          <w:kern w:val="0"/>
          <w:sz w:val="32"/>
          <w:szCs w:val="32"/>
        </w:rPr>
      </w:pPr>
      <w:r>
        <w:rPr>
          <w:rFonts w:hint="eastAsia" w:ascii="楷体_GB2312" w:hAnsi="楷体_GB2312" w:eastAsia="楷体_GB2312" w:cs="楷体_GB2312"/>
          <w:kern w:val="0"/>
          <w:sz w:val="32"/>
          <w:szCs w:val="32"/>
        </w:rPr>
        <w:t>（四）绩效结果应用情况。</w:t>
      </w:r>
      <w:r>
        <w:rPr>
          <w:rFonts w:ascii="仿宋_GB2312" w:eastAsia="仿宋_GB2312" w:cs="仿宋"/>
          <w:kern w:val="0"/>
          <w:sz w:val="32"/>
          <w:szCs w:val="32"/>
        </w:rPr>
        <w:t>绩效结果应用</w:t>
      </w:r>
      <w:r>
        <w:rPr>
          <w:rFonts w:hint="eastAsia" w:ascii="仿宋_GB2312" w:eastAsia="仿宋_GB2312" w:cs="仿宋"/>
          <w:kern w:val="0"/>
          <w:sz w:val="32"/>
          <w:szCs w:val="32"/>
        </w:rPr>
        <w:t>良好，相应财务信息通过门户网站进行信息公开。</w:t>
      </w:r>
      <w:r>
        <w:rPr>
          <w:rFonts w:ascii="仿宋_GB2312" w:eastAsia="仿宋_GB2312" w:cs="仿宋"/>
          <w:kern w:val="0"/>
          <w:sz w:val="32"/>
          <w:szCs w:val="32"/>
        </w:rPr>
        <w:t>针对项目预算执行率不足的问题，通过做细预算、强化执行进度等措施进行整改，并计划将绩效评价工作作为常态化工作进行，以提高预算执行率和绩效评价成果的运用。</w:t>
      </w:r>
      <w:r>
        <w:rPr>
          <w:rFonts w:hint="eastAsia" w:ascii="仿宋_GB2312" w:eastAsia="仿宋_GB2312" w:cs="仿宋"/>
          <w:kern w:val="0"/>
          <w:sz w:val="32"/>
          <w:szCs w:val="32"/>
        </w:rPr>
        <w:t>未来</w:t>
      </w:r>
      <w:r>
        <w:rPr>
          <w:rFonts w:ascii="仿宋_GB2312" w:eastAsia="仿宋_GB2312" w:cs="仿宋"/>
          <w:kern w:val="0"/>
          <w:sz w:val="32"/>
          <w:szCs w:val="32"/>
        </w:rPr>
        <w:t>，</w:t>
      </w:r>
      <w:r>
        <w:rPr>
          <w:rFonts w:hint="eastAsia" w:ascii="仿宋_GB2312" w:eastAsia="仿宋_GB2312" w:cs="仿宋"/>
          <w:kern w:val="0"/>
          <w:sz w:val="32"/>
          <w:szCs w:val="32"/>
        </w:rPr>
        <w:t>我院将</w:t>
      </w:r>
      <w:r>
        <w:rPr>
          <w:rFonts w:ascii="仿宋_GB2312" w:eastAsia="仿宋_GB2312" w:cs="仿宋"/>
          <w:kern w:val="0"/>
          <w:sz w:val="32"/>
          <w:szCs w:val="32"/>
        </w:rPr>
        <w:t>继续加强财务绩效管理工作，不断完善绩效评价体系和结果应用机制，以更好地服务于检察工作实践。同时，也应注重与其他部门的协作与配合，共同推动检察工作的高质量发展。</w:t>
      </w:r>
    </w:p>
    <w:p w14:paraId="083A2A30">
      <w:pPr>
        <w:widowControl/>
        <w:adjustRightInd w:val="0"/>
        <w:snapToGrid w:val="0"/>
        <w:spacing w:line="578" w:lineRule="exact"/>
        <w:ind w:firstLine="640" w:firstLineChars="200"/>
        <w:contextualSpacing/>
        <w:jc w:val="left"/>
        <w:rPr>
          <w:rFonts w:hint="eastAsia" w:ascii="黑体" w:hAnsi="黑体" w:eastAsia="黑体" w:cs="黑体"/>
          <w:kern w:val="0"/>
          <w:sz w:val="32"/>
          <w:szCs w:val="32"/>
        </w:rPr>
      </w:pPr>
      <w:r>
        <w:rPr>
          <w:rFonts w:hint="eastAsia" w:ascii="黑体" w:hAnsi="黑体" w:eastAsia="黑体" w:cs="黑体"/>
          <w:kern w:val="0"/>
          <w:sz w:val="32"/>
          <w:szCs w:val="32"/>
        </w:rPr>
        <w:t>四、评价结论及建议</w:t>
      </w:r>
    </w:p>
    <w:p w14:paraId="37555903">
      <w:pPr>
        <w:widowControl/>
        <w:adjustRightInd w:val="0"/>
        <w:snapToGrid w:val="0"/>
        <w:spacing w:line="578" w:lineRule="exact"/>
        <w:ind w:firstLine="640" w:firstLineChars="200"/>
        <w:contextualSpacing/>
        <w:jc w:val="left"/>
        <w:rPr>
          <w:rFonts w:ascii="仿宋_GB2312" w:eastAsia="仿宋_GB2312" w:cs="仿宋"/>
          <w:kern w:val="0"/>
          <w:sz w:val="32"/>
          <w:szCs w:val="32"/>
        </w:rPr>
      </w:pPr>
      <w:r>
        <w:rPr>
          <w:rFonts w:hint="eastAsia" w:ascii="楷体_GB2312" w:hAnsi="楷体_GB2312" w:eastAsia="楷体_GB2312" w:cs="楷体_GB2312"/>
          <w:kern w:val="0"/>
          <w:sz w:val="32"/>
          <w:szCs w:val="32"/>
        </w:rPr>
        <w:t>（一）评价结论。</w:t>
      </w:r>
      <w:r>
        <w:rPr>
          <w:rFonts w:hint="eastAsia" w:ascii="仿宋_GB2312" w:eastAsia="仿宋_GB2312" w:cs="仿宋"/>
          <w:kern w:val="0"/>
          <w:sz w:val="32"/>
          <w:szCs w:val="32"/>
        </w:rPr>
        <w:t>我院在总体绩效方面表现良好，其中履职效能优秀，能聚焦监督主责主业，真正做到依法严厉打击犯罪，并创新机制真抓实干；预算管理方面严格按要求编制年初部门预算，编制的具有科学性和准确性，严格控制一般性支出；财务管理及采购管理规范有序，资产管理制度健全，资产利用效率高；项目按规执行，实现了年初设定的绩效目标，但部分项目资金支出进度较慢，项目开展滞后。最终自评总体得分93.31分。</w:t>
      </w:r>
    </w:p>
    <w:p w14:paraId="4FEC28BA">
      <w:pPr>
        <w:widowControl/>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楷体_GB2312" w:hAnsi="楷体_GB2312" w:eastAsia="楷体_GB2312" w:cs="楷体_GB2312"/>
          <w:kern w:val="0"/>
          <w:sz w:val="32"/>
          <w:szCs w:val="32"/>
        </w:rPr>
        <w:t>（二）存在问题。</w:t>
      </w:r>
      <w:r>
        <w:rPr>
          <w:rFonts w:hint="eastAsia" w:ascii="仿宋_GB2312" w:eastAsia="仿宋_GB2312" w:cs="仿宋"/>
          <w:kern w:val="0"/>
          <w:sz w:val="32"/>
          <w:szCs w:val="32"/>
        </w:rPr>
        <w:t>绩效管理重视程度不高，绩效理念未牢固树立；部分项目资金支出进度较慢，项目开展滞后。</w:t>
      </w:r>
    </w:p>
    <w:p w14:paraId="38EE7A96">
      <w:pPr>
        <w:widowControl/>
        <w:adjustRightInd w:val="0"/>
        <w:snapToGrid w:val="0"/>
        <w:spacing w:line="578" w:lineRule="exact"/>
        <w:ind w:firstLine="640" w:firstLineChars="200"/>
        <w:contextualSpacing/>
        <w:jc w:val="left"/>
        <w:rPr>
          <w:rFonts w:hint="eastAsia" w:ascii="仿宋_GB2312" w:eastAsia="仿宋_GB2312" w:cs="仿宋"/>
          <w:kern w:val="0"/>
          <w:sz w:val="32"/>
          <w:szCs w:val="32"/>
        </w:rPr>
      </w:pPr>
      <w:r>
        <w:rPr>
          <w:rFonts w:hint="eastAsia" w:ascii="楷体_GB2312" w:hAnsi="楷体_GB2312" w:eastAsia="楷体_GB2312" w:cs="楷体_GB2312"/>
          <w:kern w:val="0"/>
          <w:sz w:val="32"/>
          <w:szCs w:val="32"/>
        </w:rPr>
        <w:t>（三）改进建议。</w:t>
      </w:r>
      <w:r>
        <w:rPr>
          <w:rFonts w:hint="eastAsia" w:ascii="仿宋_GB2312" w:eastAsia="仿宋_GB2312" w:cs="仿宋"/>
          <w:kern w:val="0"/>
          <w:sz w:val="32"/>
          <w:szCs w:val="32"/>
        </w:rPr>
        <w:t>充分利用多种渠道加强对预算绩效管理的学习，进一步提升我院干警对预算绩效管理的认识，强化相关部门责任担当意识，拓展绩效管理的广度深度，不断健全绩效目标设置和绩效评价体系。同时力将项目资金支出进度形成报表，以提高预算执行效率和财政资金使用效益。</w:t>
      </w:r>
    </w:p>
    <w:p w14:paraId="1524B88A">
      <w:pPr>
        <w:widowControl/>
        <w:adjustRightInd w:val="0"/>
        <w:snapToGrid w:val="0"/>
        <w:spacing w:line="578" w:lineRule="exact"/>
        <w:ind w:firstLine="640" w:firstLineChars="200"/>
        <w:contextualSpacing/>
        <w:jc w:val="left"/>
        <w:rPr>
          <w:rFonts w:hint="eastAsia" w:ascii="仿宋_GB2312" w:eastAsia="仿宋_GB2312" w:cs="仿宋"/>
          <w:kern w:val="0"/>
          <w:sz w:val="32"/>
          <w:szCs w:val="32"/>
        </w:rPr>
      </w:pPr>
    </w:p>
    <w:p w14:paraId="21BA1348">
      <w:pPr>
        <w:spacing w:line="578" w:lineRule="exact"/>
        <w:ind w:firstLine="640" w:firstLineChars="200"/>
        <w:rPr>
          <w:rFonts w:ascii="仿宋_GB2312" w:eastAsia="仿宋_GB2312" w:cs="仿宋"/>
          <w:kern w:val="0"/>
          <w:sz w:val="32"/>
          <w:szCs w:val="32"/>
        </w:rPr>
      </w:pPr>
    </w:p>
    <w:p w14:paraId="0C41E4F1">
      <w:pPr>
        <w:widowControl/>
        <w:jc w:val="left"/>
        <w:rPr>
          <w:rFonts w:hint="eastAsia" w:ascii="黑体" w:hAnsi="黑体" w:eastAsia="黑体" w:cs="黑体"/>
        </w:rPr>
      </w:pPr>
    </w:p>
    <w:p w14:paraId="0244569C">
      <w:pPr>
        <w:widowControl/>
        <w:jc w:val="left"/>
        <w:rPr>
          <w:rFonts w:hint="eastAsia" w:ascii="黑体" w:hAnsi="黑体" w:eastAsia="黑体" w:cs="黑体"/>
        </w:rPr>
      </w:pPr>
    </w:p>
    <w:p w14:paraId="69C566A5">
      <w:pPr>
        <w:widowControl/>
        <w:jc w:val="left"/>
        <w:rPr>
          <w:rFonts w:ascii="黑体" w:hAnsi="黑体" w:eastAsia="黑体" w:cs="黑体"/>
        </w:rPr>
      </w:pPr>
    </w:p>
    <w:p w14:paraId="7E840AE7">
      <w:pPr>
        <w:widowControl/>
        <w:jc w:val="left"/>
        <w:rPr>
          <w:rFonts w:hint="eastAsia" w:ascii="黑体" w:hAnsi="黑体" w:eastAsia="黑体" w:cs="黑体"/>
        </w:rPr>
      </w:pPr>
    </w:p>
    <w:p w14:paraId="342040B3">
      <w:pPr>
        <w:pStyle w:val="5"/>
        <w:rPr>
          <w:rFonts w:hint="eastAsia" w:ascii="黑体" w:hAnsi="黑体" w:eastAsia="黑体" w:cs="黑体"/>
        </w:rPr>
      </w:pPr>
    </w:p>
    <w:p w14:paraId="5C704F03">
      <w:pPr>
        <w:pStyle w:val="5"/>
        <w:rPr>
          <w:rFonts w:hint="eastAsia" w:ascii="黑体" w:hAnsi="黑体" w:eastAsia="黑体" w:cs="黑体"/>
        </w:rPr>
      </w:pPr>
    </w:p>
    <w:p w14:paraId="2E9656BC">
      <w:pPr>
        <w:pStyle w:val="5"/>
        <w:rPr>
          <w:rFonts w:hint="eastAsia" w:ascii="黑体" w:hAnsi="黑体" w:eastAsia="黑体" w:cs="黑体"/>
        </w:rPr>
      </w:pPr>
    </w:p>
    <w:p w14:paraId="56D1F1E7">
      <w:pPr>
        <w:pStyle w:val="5"/>
        <w:rPr>
          <w:rFonts w:hint="eastAsia" w:ascii="黑体" w:hAnsi="黑体" w:eastAsia="黑体" w:cs="黑体"/>
        </w:rPr>
      </w:pPr>
    </w:p>
    <w:p w14:paraId="1215D5F5">
      <w:pPr>
        <w:pStyle w:val="5"/>
        <w:rPr>
          <w:rFonts w:hint="eastAsia" w:ascii="黑体" w:hAnsi="黑体" w:eastAsia="黑体" w:cs="黑体"/>
        </w:rPr>
      </w:pPr>
    </w:p>
    <w:p w14:paraId="69636FE0">
      <w:pPr>
        <w:pStyle w:val="5"/>
        <w:rPr>
          <w:rFonts w:hint="eastAsia" w:ascii="黑体" w:hAnsi="黑体" w:eastAsia="黑体" w:cs="黑体"/>
        </w:rPr>
      </w:pPr>
    </w:p>
    <w:p w14:paraId="6EEA0435">
      <w:pPr>
        <w:pStyle w:val="5"/>
        <w:rPr>
          <w:rFonts w:hint="eastAsia" w:ascii="黑体" w:hAnsi="黑体" w:eastAsia="黑体" w:cs="黑体"/>
        </w:rPr>
      </w:pPr>
    </w:p>
    <w:p w14:paraId="7E0D1700">
      <w:pPr>
        <w:pStyle w:val="5"/>
        <w:rPr>
          <w:rFonts w:hint="eastAsia" w:ascii="黑体" w:hAnsi="黑体" w:eastAsia="黑体" w:cs="黑体"/>
        </w:rPr>
      </w:pPr>
    </w:p>
    <w:p w14:paraId="48E3FC9E">
      <w:pPr>
        <w:pStyle w:val="5"/>
        <w:rPr>
          <w:rFonts w:ascii="仿宋_GB2312" w:hAnsi="仿宋_GB2312" w:eastAsia="仿宋_GB2312" w:cs="仿宋_GB2312"/>
          <w:sz w:val="32"/>
          <w:szCs w:val="32"/>
        </w:rPr>
      </w:pPr>
      <w:bookmarkStart w:id="78" w:name="_Toc15396618"/>
    </w:p>
    <w:p w14:paraId="5A52C02B">
      <w:pPr>
        <w:pStyle w:val="5"/>
        <w:spacing w:after="0" w:line="240" w:lineRule="auto"/>
        <w:rPr>
          <w:rFonts w:ascii="仿宋_GB2312" w:hAnsi="仿宋_GB2312" w:eastAsia="仿宋_GB2312" w:cs="仿宋_GB2312"/>
          <w:sz w:val="32"/>
          <w:szCs w:val="32"/>
        </w:rPr>
        <w:sectPr>
          <w:footerReference r:id="rId3" w:type="default"/>
          <w:pgSz w:w="11906" w:h="16838"/>
          <w:pgMar w:top="1440" w:right="1800" w:bottom="1440" w:left="1800" w:header="720" w:footer="720" w:gutter="0"/>
          <w:pgNumType w:fmt="numberInDash" w:start="1"/>
          <w:cols w:space="720" w:num="1"/>
          <w:docGrid w:type="lines" w:linePitch="312" w:charSpace="0"/>
        </w:sectPr>
      </w:pPr>
    </w:p>
    <w:p w14:paraId="7CD43565">
      <w:pPr>
        <w:pStyle w:val="5"/>
        <w:spacing w:after="0" w:line="24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w:t>
      </w:r>
    </w:p>
    <w:tbl>
      <w:tblPr>
        <w:tblStyle w:val="15"/>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8"/>
        <w:gridCol w:w="1338"/>
        <w:gridCol w:w="1378"/>
        <w:gridCol w:w="1777"/>
        <w:gridCol w:w="945"/>
        <w:gridCol w:w="738"/>
        <w:gridCol w:w="1109"/>
        <w:gridCol w:w="1256"/>
        <w:gridCol w:w="586"/>
        <w:gridCol w:w="586"/>
        <w:gridCol w:w="3305"/>
      </w:tblGrid>
      <w:tr w14:paraId="027AF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69EB703">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部门预算项目支出绩效自评表（2023年度）</w:t>
            </w:r>
          </w:p>
        </w:tc>
      </w:tr>
      <w:tr w14:paraId="389E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9C3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项目名称</w:t>
            </w:r>
          </w:p>
        </w:tc>
        <w:tc>
          <w:tcPr>
            <w:tcW w:w="412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6C7C3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机关运行保障经费</w:t>
            </w:r>
          </w:p>
        </w:tc>
      </w:tr>
      <w:tr w14:paraId="15DF7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8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304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主管部门</w:t>
            </w:r>
          </w:p>
        </w:tc>
        <w:tc>
          <w:tcPr>
            <w:tcW w:w="21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2CE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广元市昭化区人民检察院部门</w:t>
            </w:r>
          </w:p>
        </w:tc>
        <w:tc>
          <w:tcPr>
            <w:tcW w:w="442" w:type="pct"/>
            <w:tcBorders>
              <w:top w:val="nil"/>
              <w:left w:val="nil"/>
              <w:bottom w:val="nil"/>
              <w:right w:val="nil"/>
            </w:tcBorders>
            <w:shd w:val="clear" w:color="auto" w:fill="auto"/>
            <w:vAlign w:val="center"/>
          </w:tcPr>
          <w:p w14:paraId="7D6D3D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实施单位 （盖章）</w:t>
            </w:r>
          </w:p>
        </w:tc>
        <w:tc>
          <w:tcPr>
            <w:tcW w:w="15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D5EA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广元市昭化区人民检察院</w:t>
            </w:r>
          </w:p>
        </w:tc>
      </w:tr>
      <w:tr w14:paraId="1795A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6DE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项目基本情况</w:t>
            </w:r>
          </w:p>
        </w:tc>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8A5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1.项目年度目标完成情况</w:t>
            </w:r>
          </w:p>
        </w:tc>
        <w:tc>
          <w:tcPr>
            <w:tcW w:w="21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29D8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项目年度目标</w:t>
            </w:r>
          </w:p>
        </w:tc>
        <w:tc>
          <w:tcPr>
            <w:tcW w:w="20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ADD0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年度目标完成情况</w:t>
            </w:r>
          </w:p>
        </w:tc>
      </w:tr>
      <w:tr w14:paraId="43BAD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798B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988A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21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2F08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为保障机关切实履行法定检察职能，做好各项后勤保障工作，提供一个安全办公、环境整洁、服务方便的优质办公环境。</w:t>
            </w:r>
          </w:p>
        </w:tc>
        <w:tc>
          <w:tcPr>
            <w:tcW w:w="20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0E60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做好了各项后勤保障工作，保障机关切实履行法定检察职能。</w:t>
            </w:r>
          </w:p>
        </w:tc>
      </w:tr>
      <w:tr w14:paraId="7F827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F7CA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F59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2.项目实施内容及过程概述</w:t>
            </w:r>
          </w:p>
        </w:tc>
        <w:tc>
          <w:tcPr>
            <w:tcW w:w="412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3D10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做好各项后勤保障工作，提供一个安全办公、环境整洁、服务方便的优质办公环境。</w:t>
            </w:r>
          </w:p>
        </w:tc>
      </w:tr>
      <w:tr w14:paraId="43F6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11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预算执行情况（10分）</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43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年度预算数（万元）</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CF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年初预算</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A30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调整后预算数</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419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FC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8D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权重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A8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得分</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00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原因</w:t>
            </w:r>
          </w:p>
        </w:tc>
      </w:tr>
      <w:tr w14:paraId="76AFE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2BE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7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总额</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7B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15B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C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00D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08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8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3E5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BB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11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661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CDFC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86A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DB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其中：财政资金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31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4E2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C7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4AA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06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33.00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E7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B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0B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11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4322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0307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9BD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7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财政专户管理资金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665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0.00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89D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D0EE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B2E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B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53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11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CCED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FDD3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8D0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889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单位资金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BC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0.00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8F8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84EB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A0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0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B5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11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E43E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C006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E16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A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4CD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87E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843F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D3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19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4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11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1B72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41C0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restart"/>
            <w:tcBorders>
              <w:top w:val="single" w:color="000000" w:sz="4" w:space="0"/>
              <w:left w:val="single" w:color="000000" w:sz="4" w:space="0"/>
              <w:bottom w:val="nil"/>
              <w:right w:val="single" w:color="000000" w:sz="4" w:space="0"/>
            </w:tcBorders>
            <w:shd w:val="clear" w:color="auto" w:fill="auto"/>
            <w:vAlign w:val="center"/>
          </w:tcPr>
          <w:p w14:paraId="0BFF8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绩效指标（90分）</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07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一级指标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9FF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二级指标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C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三级指标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BD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指标性质</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E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指标值</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27C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度量单位</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71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完成值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39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权重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BCC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得分</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E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未完成原因分析</w:t>
            </w:r>
          </w:p>
        </w:tc>
      </w:tr>
      <w:tr w14:paraId="63E60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nil"/>
              <w:right w:val="single" w:color="000000" w:sz="4" w:space="0"/>
            </w:tcBorders>
            <w:shd w:val="clear" w:color="auto" w:fill="auto"/>
            <w:vAlign w:val="center"/>
          </w:tcPr>
          <w:p w14:paraId="66F850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5E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产出指标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9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数量指标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E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保障机关基本运转</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E1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CA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3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月</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F9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18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F3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B93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r>
      <w:tr w14:paraId="0552B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nil"/>
              <w:right w:val="single" w:color="000000" w:sz="4" w:space="0"/>
            </w:tcBorders>
            <w:shd w:val="clear" w:color="auto" w:fill="auto"/>
            <w:vAlign w:val="center"/>
          </w:tcPr>
          <w:p w14:paraId="3B892E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9C3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7A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质量指标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EE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节能减排工作达标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9A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定性</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77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DD2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优良中差</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9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59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C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07D7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9FB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nil"/>
              <w:right w:val="single" w:color="000000" w:sz="4" w:space="0"/>
            </w:tcBorders>
            <w:shd w:val="clear" w:color="auto" w:fill="auto"/>
            <w:vAlign w:val="center"/>
          </w:tcPr>
          <w:p w14:paraId="3EE791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A42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BD6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数量指标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5F6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2023年当年办理案件数量</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E1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3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05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EC2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B9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313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3AD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827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nil"/>
              <w:right w:val="single" w:color="000000" w:sz="4" w:space="0"/>
            </w:tcBorders>
            <w:shd w:val="clear" w:color="auto" w:fill="auto"/>
            <w:vAlign w:val="center"/>
          </w:tcPr>
          <w:p w14:paraId="7A5465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99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效益指标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0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可持续影响指标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6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持续落实各项制度</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074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4CC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4A8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795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A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90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FF3E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1B31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vMerge w:val="continue"/>
            <w:tcBorders>
              <w:top w:val="single" w:color="000000" w:sz="4" w:space="0"/>
              <w:left w:val="single" w:color="000000" w:sz="4" w:space="0"/>
              <w:bottom w:val="nil"/>
              <w:right w:val="single" w:color="000000" w:sz="4" w:space="0"/>
            </w:tcBorders>
            <w:shd w:val="clear" w:color="auto" w:fill="auto"/>
            <w:vAlign w:val="center"/>
          </w:tcPr>
          <w:p w14:paraId="0A6BF2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EA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成本指标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34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经济成本指标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92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机关运作保障成本</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3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B1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1B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万元</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E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E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7B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16</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8D23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64C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99" w:type="pct"/>
            <w:tcBorders>
              <w:top w:val="nil"/>
              <w:left w:val="single" w:color="000000" w:sz="4" w:space="0"/>
              <w:bottom w:val="nil"/>
              <w:right w:val="single" w:color="000000" w:sz="4" w:space="0"/>
            </w:tcBorders>
            <w:shd w:val="clear" w:color="auto" w:fill="auto"/>
            <w:vAlign w:val="center"/>
          </w:tcPr>
          <w:p w14:paraId="7086D0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1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满意度指标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A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服务对象满意度指标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5B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提高群众满意度</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24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Style w:val="30"/>
                <w:sz w:val="13"/>
                <w:szCs w:val="13"/>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8F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95</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64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36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10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9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168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3A59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41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5B385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06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29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1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17E7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7A1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471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评价结论</w:t>
            </w:r>
          </w:p>
        </w:tc>
        <w:tc>
          <w:tcPr>
            <w:tcW w:w="46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3C7C6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自评得分100分。项目立项合理，资金使用合理合规，保障机关切实履行法定检察职能。</w:t>
            </w:r>
          </w:p>
        </w:tc>
      </w:tr>
      <w:tr w14:paraId="02415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EAEF">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存在问题</w:t>
            </w:r>
          </w:p>
        </w:tc>
        <w:tc>
          <w:tcPr>
            <w:tcW w:w="46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6B8448D">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无</w:t>
            </w:r>
          </w:p>
        </w:tc>
      </w:tr>
      <w:tr w14:paraId="46D01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DE3E1">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改进措施</w:t>
            </w:r>
          </w:p>
        </w:tc>
        <w:tc>
          <w:tcPr>
            <w:tcW w:w="46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96A91C3">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无</w:t>
            </w:r>
          </w:p>
        </w:tc>
      </w:tr>
      <w:tr w14:paraId="70F22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858A8F">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项目负责人：张颖</w:t>
            </w:r>
          </w:p>
        </w:tc>
        <w:tc>
          <w:tcPr>
            <w:tcW w:w="267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CE893B">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财务负责人：冯亮</w:t>
            </w:r>
          </w:p>
        </w:tc>
      </w:tr>
    </w:tbl>
    <w:p w14:paraId="4DC4B552">
      <w:pPr>
        <w:pStyle w:val="5"/>
        <w:spacing w:after="0" w:line="240" w:lineRule="auto"/>
        <w:rPr>
          <w:rFonts w:hint="eastAsia" w:ascii="仿宋_GB2312" w:hAnsi="仿宋_GB2312" w:eastAsia="仿宋_GB2312" w:cs="仿宋_GB2312"/>
          <w:sz w:val="32"/>
          <w:szCs w:val="32"/>
          <w:lang w:val="en-US" w:eastAsia="zh-CN"/>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05"/>
        <w:gridCol w:w="1969"/>
        <w:gridCol w:w="1123"/>
        <w:gridCol w:w="1497"/>
        <w:gridCol w:w="774"/>
        <w:gridCol w:w="1123"/>
        <w:gridCol w:w="930"/>
        <w:gridCol w:w="1236"/>
        <w:gridCol w:w="850"/>
        <w:gridCol w:w="661"/>
        <w:gridCol w:w="2906"/>
      </w:tblGrid>
      <w:tr w14:paraId="5DE98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5"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0BB70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47CEA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5" w:type="pct"/>
            <w:gridSpan w:val="2"/>
            <w:tcBorders>
              <w:top w:val="single" w:color="000000" w:sz="4" w:space="0"/>
              <w:left w:val="single" w:color="000000" w:sz="4" w:space="0"/>
              <w:bottom w:val="single" w:color="000000" w:sz="4" w:space="0"/>
              <w:right w:val="single" w:color="000000" w:sz="4" w:space="0"/>
            </w:tcBorders>
            <w:shd w:val="clear"/>
            <w:vAlign w:val="center"/>
          </w:tcPr>
          <w:p w14:paraId="02264A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项目名称</w:t>
            </w:r>
          </w:p>
        </w:tc>
        <w:tc>
          <w:tcPr>
            <w:tcW w:w="3914" w:type="pct"/>
            <w:gridSpan w:val="9"/>
            <w:tcBorders>
              <w:top w:val="single" w:color="000000" w:sz="4" w:space="0"/>
              <w:left w:val="single" w:color="000000" w:sz="4" w:space="0"/>
              <w:bottom w:val="single" w:color="000000" w:sz="4" w:space="0"/>
              <w:right w:val="single" w:color="000000" w:sz="4" w:space="0"/>
            </w:tcBorders>
            <w:shd w:val="clear"/>
            <w:vAlign w:val="center"/>
          </w:tcPr>
          <w:p w14:paraId="57AE7D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法警法定工作日之外加班补贴</w:t>
            </w:r>
          </w:p>
        </w:tc>
      </w:tr>
      <w:tr w14:paraId="41873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085" w:type="pct"/>
            <w:gridSpan w:val="2"/>
            <w:tcBorders>
              <w:top w:val="single" w:color="000000" w:sz="4" w:space="0"/>
              <w:left w:val="single" w:color="000000" w:sz="4" w:space="0"/>
              <w:bottom w:val="single" w:color="000000" w:sz="4" w:space="0"/>
              <w:right w:val="single" w:color="000000" w:sz="4" w:space="0"/>
            </w:tcBorders>
            <w:shd w:val="clear"/>
            <w:vAlign w:val="center"/>
          </w:tcPr>
          <w:p w14:paraId="081B16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主管部门</w:t>
            </w:r>
          </w:p>
        </w:tc>
        <w:tc>
          <w:tcPr>
            <w:tcW w:w="1921" w:type="pct"/>
            <w:gridSpan w:val="5"/>
            <w:tcBorders>
              <w:top w:val="single" w:color="000000" w:sz="4" w:space="0"/>
              <w:left w:val="single" w:color="000000" w:sz="4" w:space="0"/>
              <w:bottom w:val="single" w:color="000000" w:sz="4" w:space="0"/>
              <w:right w:val="single" w:color="000000" w:sz="4" w:space="0"/>
            </w:tcBorders>
            <w:shd w:val="clear"/>
            <w:vAlign w:val="center"/>
          </w:tcPr>
          <w:p w14:paraId="00FF4F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广元市昭化区人民检察院部门</w:t>
            </w:r>
          </w:p>
        </w:tc>
        <w:tc>
          <w:tcPr>
            <w:tcW w:w="436" w:type="pct"/>
            <w:tcBorders>
              <w:top w:val="nil"/>
              <w:left w:val="nil"/>
              <w:bottom w:val="nil"/>
              <w:right w:val="nil"/>
            </w:tcBorders>
            <w:shd w:val="clear"/>
            <w:vAlign w:val="center"/>
          </w:tcPr>
          <w:p w14:paraId="63BCC7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实施单位 （盖章）</w:t>
            </w:r>
          </w:p>
        </w:tc>
        <w:tc>
          <w:tcPr>
            <w:tcW w:w="1557" w:type="pct"/>
            <w:gridSpan w:val="3"/>
            <w:tcBorders>
              <w:top w:val="single" w:color="000000" w:sz="4" w:space="0"/>
              <w:left w:val="single" w:color="000000" w:sz="4" w:space="0"/>
              <w:bottom w:val="single" w:color="000000" w:sz="4" w:space="0"/>
              <w:right w:val="single" w:color="000000" w:sz="4" w:space="0"/>
            </w:tcBorders>
            <w:shd w:val="clear"/>
            <w:vAlign w:val="center"/>
          </w:tcPr>
          <w:p w14:paraId="7A2C0A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w:t>
            </w:r>
          </w:p>
        </w:tc>
      </w:tr>
      <w:tr w14:paraId="3A054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restart"/>
            <w:tcBorders>
              <w:top w:val="single" w:color="000000" w:sz="4" w:space="0"/>
              <w:left w:val="single" w:color="000000" w:sz="4" w:space="0"/>
              <w:bottom w:val="single" w:color="000000" w:sz="4" w:space="0"/>
              <w:right w:val="single" w:color="000000" w:sz="4" w:space="0"/>
            </w:tcBorders>
            <w:shd w:val="clear"/>
            <w:vAlign w:val="center"/>
          </w:tcPr>
          <w:p w14:paraId="3D7C7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项目基本情况</w:t>
            </w:r>
          </w:p>
        </w:tc>
        <w:tc>
          <w:tcPr>
            <w:tcW w:w="694" w:type="pct"/>
            <w:vMerge w:val="restart"/>
            <w:tcBorders>
              <w:top w:val="single" w:color="000000" w:sz="4" w:space="0"/>
              <w:left w:val="single" w:color="000000" w:sz="4" w:space="0"/>
              <w:bottom w:val="single" w:color="000000" w:sz="4" w:space="0"/>
              <w:right w:val="single" w:color="000000" w:sz="4" w:space="0"/>
            </w:tcBorders>
            <w:shd w:val="clear"/>
            <w:vAlign w:val="center"/>
          </w:tcPr>
          <w:p w14:paraId="3D604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1.项目年度目标完成情况</w:t>
            </w:r>
          </w:p>
        </w:tc>
        <w:tc>
          <w:tcPr>
            <w:tcW w:w="1921" w:type="pct"/>
            <w:gridSpan w:val="5"/>
            <w:tcBorders>
              <w:top w:val="single" w:color="000000" w:sz="4" w:space="0"/>
              <w:left w:val="single" w:color="000000" w:sz="4" w:space="0"/>
              <w:bottom w:val="single" w:color="000000" w:sz="4" w:space="0"/>
              <w:right w:val="single" w:color="000000" w:sz="4" w:space="0"/>
            </w:tcBorders>
            <w:shd w:val="clear"/>
            <w:vAlign w:val="center"/>
          </w:tcPr>
          <w:p w14:paraId="18C517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项目年度目标</w:t>
            </w:r>
          </w:p>
        </w:tc>
        <w:tc>
          <w:tcPr>
            <w:tcW w:w="1993" w:type="pct"/>
            <w:gridSpan w:val="4"/>
            <w:tcBorders>
              <w:top w:val="single" w:color="000000" w:sz="4" w:space="0"/>
              <w:left w:val="single" w:color="000000" w:sz="4" w:space="0"/>
              <w:bottom w:val="single" w:color="000000" w:sz="4" w:space="0"/>
              <w:right w:val="single" w:color="000000" w:sz="4" w:space="0"/>
            </w:tcBorders>
            <w:shd w:val="clear"/>
            <w:vAlign w:val="center"/>
          </w:tcPr>
          <w:p w14:paraId="6736C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年度目标完成情况</w:t>
            </w:r>
          </w:p>
        </w:tc>
      </w:tr>
      <w:tr w14:paraId="65E0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3F294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9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0F157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1921" w:type="pct"/>
            <w:gridSpan w:val="5"/>
            <w:tcBorders>
              <w:top w:val="single" w:color="000000" w:sz="4" w:space="0"/>
              <w:left w:val="single" w:color="000000" w:sz="4" w:space="0"/>
              <w:bottom w:val="single" w:color="000000" w:sz="4" w:space="0"/>
              <w:right w:val="single" w:color="000000" w:sz="4" w:space="0"/>
            </w:tcBorders>
            <w:shd w:val="clear"/>
            <w:vAlign w:val="center"/>
          </w:tcPr>
          <w:p w14:paraId="0DC589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立足警务工作实际需要，坚持严格训练，科学组织，突出重点，注重实效，强化业务，努力提高司法警察队伍各项素质和技能水平，保障司法警察值勤工作正常开展。</w:t>
            </w:r>
          </w:p>
        </w:tc>
        <w:tc>
          <w:tcPr>
            <w:tcW w:w="1993" w:type="pct"/>
            <w:gridSpan w:val="4"/>
            <w:tcBorders>
              <w:top w:val="single" w:color="000000" w:sz="4" w:space="0"/>
              <w:left w:val="single" w:color="000000" w:sz="4" w:space="0"/>
              <w:bottom w:val="single" w:color="000000" w:sz="4" w:space="0"/>
              <w:right w:val="single" w:color="000000" w:sz="4" w:space="0"/>
            </w:tcBorders>
            <w:shd w:val="clear"/>
            <w:vAlign w:val="center"/>
          </w:tcPr>
          <w:p w14:paraId="06BC53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保障了3名司法警察加班费，完成了年初设定的目标。</w:t>
            </w:r>
          </w:p>
        </w:tc>
      </w:tr>
      <w:tr w14:paraId="5FFA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6A8A2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8786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2.项目实施内容及过程概述</w:t>
            </w:r>
          </w:p>
        </w:tc>
        <w:tc>
          <w:tcPr>
            <w:tcW w:w="3914" w:type="pct"/>
            <w:gridSpan w:val="9"/>
            <w:tcBorders>
              <w:top w:val="single" w:color="000000" w:sz="4" w:space="0"/>
              <w:left w:val="single" w:color="000000" w:sz="4" w:space="0"/>
              <w:bottom w:val="single" w:color="000000" w:sz="4" w:space="0"/>
              <w:right w:val="single" w:color="000000" w:sz="4" w:space="0"/>
            </w:tcBorders>
            <w:shd w:val="clear"/>
            <w:vAlign w:val="center"/>
          </w:tcPr>
          <w:p w14:paraId="6FE64A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对司法警察发放加班补贴，保障司法警察值勤工作正常开展。</w:t>
            </w:r>
          </w:p>
        </w:tc>
      </w:tr>
      <w:tr w14:paraId="1AD4B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restart"/>
            <w:tcBorders>
              <w:top w:val="single" w:color="000000" w:sz="4" w:space="0"/>
              <w:left w:val="single" w:color="000000" w:sz="4" w:space="0"/>
              <w:bottom w:val="single" w:color="000000" w:sz="4" w:space="0"/>
              <w:right w:val="single" w:color="000000" w:sz="4" w:space="0"/>
            </w:tcBorders>
            <w:shd w:val="clear"/>
            <w:vAlign w:val="center"/>
          </w:tcPr>
          <w:p w14:paraId="6F7EC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预算执行情况（10分）</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38BF5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年度预算数（万元）</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B45C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年初预算</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64133C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调整后预算数</w:t>
            </w:r>
          </w:p>
        </w:tc>
        <w:tc>
          <w:tcPr>
            <w:tcW w:w="997" w:type="pct"/>
            <w:gridSpan w:val="3"/>
            <w:tcBorders>
              <w:top w:val="single" w:color="000000" w:sz="4" w:space="0"/>
              <w:left w:val="single" w:color="000000" w:sz="4" w:space="0"/>
              <w:bottom w:val="single" w:color="000000" w:sz="4" w:space="0"/>
              <w:right w:val="single" w:color="000000" w:sz="4" w:space="0"/>
            </w:tcBorders>
            <w:shd w:val="clear"/>
            <w:vAlign w:val="center"/>
          </w:tcPr>
          <w:p w14:paraId="1DDA7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预算执行数</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2E1A4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预算执行率</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61B01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1B818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75648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原因</w:t>
            </w:r>
          </w:p>
        </w:tc>
      </w:tr>
      <w:tr w14:paraId="3541F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A239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6AA43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总额</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2597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2.56</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3D3733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775BE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F587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6723A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2256A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96.15%</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3559A1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708B0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1022"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6CE5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9207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1530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6D9D4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其中：财政资金</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E8CE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2.56</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4AED1F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44DC2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8B43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14B95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1CFAA3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96.15%</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785A1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56DA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102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8D2E7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657E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1F2B5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16D40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财政专户管理资金</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BA56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5F529D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997" w:type="pct"/>
            <w:gridSpan w:val="3"/>
            <w:tcBorders>
              <w:top w:val="single" w:color="000000" w:sz="4" w:space="0"/>
              <w:left w:val="single" w:color="000000" w:sz="4" w:space="0"/>
              <w:bottom w:val="single" w:color="000000" w:sz="4" w:space="0"/>
              <w:right w:val="single" w:color="000000" w:sz="4" w:space="0"/>
            </w:tcBorders>
            <w:shd w:val="clear"/>
            <w:vAlign w:val="center"/>
          </w:tcPr>
          <w:p w14:paraId="041596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05DCB8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22AD4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51E19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102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6F679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60E6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91D0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30AF6D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单位资金</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C232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28FC3A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997" w:type="pct"/>
            <w:gridSpan w:val="3"/>
            <w:tcBorders>
              <w:top w:val="single" w:color="000000" w:sz="4" w:space="0"/>
              <w:left w:val="single" w:color="000000" w:sz="4" w:space="0"/>
              <w:bottom w:val="single" w:color="000000" w:sz="4" w:space="0"/>
              <w:right w:val="single" w:color="000000" w:sz="4" w:space="0"/>
            </w:tcBorders>
            <w:shd w:val="clear"/>
            <w:vAlign w:val="center"/>
          </w:tcPr>
          <w:p w14:paraId="46513C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618884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3798F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17111D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102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7D83D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A79B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81A2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205E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其他资金</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08C68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3B73FB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997" w:type="pct"/>
            <w:gridSpan w:val="3"/>
            <w:tcBorders>
              <w:top w:val="single" w:color="000000" w:sz="4" w:space="0"/>
              <w:left w:val="single" w:color="000000" w:sz="4" w:space="0"/>
              <w:bottom w:val="single" w:color="000000" w:sz="4" w:space="0"/>
              <w:right w:val="single" w:color="000000" w:sz="4" w:space="0"/>
            </w:tcBorders>
            <w:shd w:val="clear"/>
            <w:vAlign w:val="center"/>
          </w:tcPr>
          <w:p w14:paraId="3F96F9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2144EC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64E26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293BE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102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DD6B3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8287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restart"/>
            <w:tcBorders>
              <w:top w:val="single" w:color="000000" w:sz="4" w:space="0"/>
              <w:left w:val="single" w:color="000000" w:sz="4" w:space="0"/>
              <w:bottom w:val="nil"/>
              <w:right w:val="single" w:color="000000" w:sz="4" w:space="0"/>
            </w:tcBorders>
            <w:shd w:val="clear"/>
            <w:vAlign w:val="center"/>
          </w:tcPr>
          <w:p w14:paraId="04519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绩效指标（90分）</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26418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一级指标</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47CB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二级指标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2998E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三级指标</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2F61E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指标性质</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3D5A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指标值</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3EDA4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度量单位</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3DA6C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完成值</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5F2AF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1EBFC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71C312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未完成原因分析</w:t>
            </w:r>
          </w:p>
        </w:tc>
      </w:tr>
      <w:tr w14:paraId="43EB6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0E4C54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vMerge w:val="restart"/>
            <w:tcBorders>
              <w:top w:val="single" w:color="000000" w:sz="4" w:space="0"/>
              <w:left w:val="single" w:color="000000" w:sz="4" w:space="0"/>
              <w:bottom w:val="single" w:color="000000" w:sz="4" w:space="0"/>
              <w:right w:val="single" w:color="000000" w:sz="4" w:space="0"/>
            </w:tcBorders>
            <w:shd w:val="clear"/>
            <w:vAlign w:val="center"/>
          </w:tcPr>
          <w:p w14:paraId="787B9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产出指标</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D679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01BE5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参与办案数</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0FD06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10F5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170B96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件</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01B300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228</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787DF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B86A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1B146D5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A5EF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5AE6B0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AC2A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DF8C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30E47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警务保障人员</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75F01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C1A9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3</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58382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人</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520AE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3</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665D7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02AB2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257D833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481A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22E372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17531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D2E94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质量指标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5480F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司法警察业务安保能力</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20433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D762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380B4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24A4F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7E837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5DC9B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7A5EEA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r>
      <w:tr w14:paraId="02FF5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415D96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6D87E5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成本指标</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725A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经济成本指标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64E95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法警加班补贴</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6F45F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26ED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2.56</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7F3D2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077A0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2.46</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4B991B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46FE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48F9B10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3236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273AFE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EDE29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效益指标</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FF3D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可持续影响指标</w:t>
            </w:r>
          </w:p>
        </w:tc>
        <w:tc>
          <w:tcPr>
            <w:tcW w:w="528" w:type="pct"/>
            <w:tcBorders>
              <w:top w:val="single" w:color="000000" w:sz="4" w:space="0"/>
              <w:left w:val="single" w:color="000000" w:sz="4" w:space="0"/>
              <w:bottom w:val="single" w:color="000000" w:sz="4" w:space="0"/>
              <w:right w:val="single" w:color="000000" w:sz="4" w:space="0"/>
            </w:tcBorders>
            <w:shd w:val="clear"/>
            <w:vAlign w:val="center"/>
          </w:tcPr>
          <w:p w14:paraId="5A4F16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增强人民安全感</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14:paraId="135C52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B791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28" w:type="pct"/>
            <w:tcBorders>
              <w:top w:val="single" w:color="000000" w:sz="4" w:space="0"/>
              <w:left w:val="single" w:color="000000" w:sz="4" w:space="0"/>
              <w:bottom w:val="single" w:color="000000" w:sz="4" w:space="0"/>
              <w:right w:val="single" w:color="000000" w:sz="4" w:space="0"/>
            </w:tcBorders>
            <w:shd w:val="clear"/>
            <w:vAlign w:val="center"/>
          </w:tcPr>
          <w:p w14:paraId="0CC61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14:paraId="229F0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5DAD9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CC03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20</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56DD329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E39A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90" w:type="pct"/>
            <w:vMerge w:val="continue"/>
            <w:tcBorders>
              <w:top w:val="single" w:color="000000" w:sz="4" w:space="0"/>
              <w:left w:val="single" w:color="000000" w:sz="4" w:space="0"/>
              <w:bottom w:val="nil"/>
              <w:right w:val="single" w:color="000000" w:sz="4" w:space="0"/>
            </w:tcBorders>
            <w:shd w:val="clear"/>
            <w:vAlign w:val="center"/>
          </w:tcPr>
          <w:p w14:paraId="06E7D9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94" w:type="pct"/>
            <w:tcBorders>
              <w:top w:val="single" w:color="000000" w:sz="4" w:space="0"/>
              <w:left w:val="single" w:color="000000" w:sz="4" w:space="0"/>
              <w:bottom w:val="nil"/>
              <w:right w:val="single" w:color="000000" w:sz="4" w:space="0"/>
            </w:tcBorders>
            <w:shd w:val="clear"/>
            <w:vAlign w:val="center"/>
          </w:tcPr>
          <w:p w14:paraId="50FFD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满意度指标</w:t>
            </w:r>
          </w:p>
        </w:tc>
        <w:tc>
          <w:tcPr>
            <w:tcW w:w="396" w:type="pct"/>
            <w:tcBorders>
              <w:top w:val="single" w:color="000000" w:sz="4" w:space="0"/>
              <w:left w:val="single" w:color="000000" w:sz="4" w:space="0"/>
              <w:bottom w:val="nil"/>
              <w:right w:val="single" w:color="000000" w:sz="4" w:space="0"/>
            </w:tcBorders>
            <w:shd w:val="clear"/>
            <w:vAlign w:val="center"/>
          </w:tcPr>
          <w:p w14:paraId="3A5C7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服务对象满意度指标</w:t>
            </w:r>
          </w:p>
        </w:tc>
        <w:tc>
          <w:tcPr>
            <w:tcW w:w="528" w:type="pct"/>
            <w:tcBorders>
              <w:top w:val="single" w:color="000000" w:sz="4" w:space="0"/>
              <w:left w:val="single" w:color="000000" w:sz="4" w:space="0"/>
              <w:bottom w:val="nil"/>
              <w:right w:val="single" w:color="000000" w:sz="4" w:space="0"/>
            </w:tcBorders>
            <w:shd w:val="clear"/>
            <w:vAlign w:val="center"/>
          </w:tcPr>
          <w:p w14:paraId="0F69E2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提高群众满意度</w:t>
            </w:r>
          </w:p>
        </w:tc>
        <w:tc>
          <w:tcPr>
            <w:tcW w:w="273" w:type="pct"/>
            <w:tcBorders>
              <w:top w:val="single" w:color="000000" w:sz="4" w:space="0"/>
              <w:left w:val="single" w:color="000000" w:sz="4" w:space="0"/>
              <w:bottom w:val="nil"/>
              <w:right w:val="single" w:color="000000" w:sz="4" w:space="0"/>
            </w:tcBorders>
            <w:shd w:val="clear"/>
            <w:vAlign w:val="center"/>
          </w:tcPr>
          <w:p w14:paraId="2C495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96" w:type="pct"/>
            <w:tcBorders>
              <w:top w:val="single" w:color="000000" w:sz="4" w:space="0"/>
              <w:left w:val="single" w:color="000000" w:sz="4" w:space="0"/>
              <w:bottom w:val="nil"/>
              <w:right w:val="single" w:color="000000" w:sz="4" w:space="0"/>
            </w:tcBorders>
            <w:shd w:val="clear"/>
            <w:vAlign w:val="center"/>
          </w:tcPr>
          <w:p w14:paraId="2726E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90</w:t>
            </w:r>
          </w:p>
        </w:tc>
        <w:tc>
          <w:tcPr>
            <w:tcW w:w="328" w:type="pct"/>
            <w:tcBorders>
              <w:top w:val="single" w:color="000000" w:sz="4" w:space="0"/>
              <w:left w:val="single" w:color="000000" w:sz="4" w:space="0"/>
              <w:bottom w:val="nil"/>
              <w:right w:val="single" w:color="000000" w:sz="4" w:space="0"/>
            </w:tcBorders>
            <w:shd w:val="clear"/>
            <w:vAlign w:val="center"/>
          </w:tcPr>
          <w:p w14:paraId="32EE2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36" w:type="pct"/>
            <w:tcBorders>
              <w:top w:val="single" w:color="000000" w:sz="4" w:space="0"/>
              <w:left w:val="single" w:color="000000" w:sz="4" w:space="0"/>
              <w:bottom w:val="nil"/>
              <w:right w:val="single" w:color="000000" w:sz="4" w:space="0"/>
            </w:tcBorders>
            <w:shd w:val="clear"/>
            <w:vAlign w:val="center"/>
          </w:tcPr>
          <w:p w14:paraId="53CBE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90</w:t>
            </w:r>
          </w:p>
        </w:tc>
        <w:tc>
          <w:tcPr>
            <w:tcW w:w="300" w:type="pct"/>
            <w:tcBorders>
              <w:top w:val="single" w:color="000000" w:sz="4" w:space="0"/>
              <w:left w:val="single" w:color="000000" w:sz="4" w:space="0"/>
              <w:bottom w:val="nil"/>
              <w:right w:val="single" w:color="000000" w:sz="4" w:space="0"/>
            </w:tcBorders>
            <w:shd w:val="clear"/>
            <w:vAlign w:val="center"/>
          </w:tcPr>
          <w:p w14:paraId="6E707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33" w:type="pct"/>
            <w:tcBorders>
              <w:top w:val="single" w:color="000000" w:sz="4" w:space="0"/>
              <w:left w:val="single" w:color="000000" w:sz="4" w:space="0"/>
              <w:bottom w:val="nil"/>
              <w:right w:val="single" w:color="000000" w:sz="4" w:space="0"/>
            </w:tcBorders>
            <w:shd w:val="clear"/>
            <w:vAlign w:val="center"/>
          </w:tcPr>
          <w:p w14:paraId="323EF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1022" w:type="pct"/>
            <w:tcBorders>
              <w:top w:val="single" w:color="000000" w:sz="4" w:space="0"/>
              <w:left w:val="single" w:color="000000" w:sz="4" w:space="0"/>
              <w:bottom w:val="nil"/>
              <w:right w:val="single" w:color="000000" w:sz="4" w:space="0"/>
            </w:tcBorders>
            <w:shd w:val="clear"/>
            <w:vAlign w:val="center"/>
          </w:tcPr>
          <w:p w14:paraId="7BFA9CE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5106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442" w:type="pct"/>
            <w:gridSpan w:val="8"/>
            <w:tcBorders>
              <w:top w:val="single" w:color="000000" w:sz="4" w:space="0"/>
              <w:left w:val="single" w:color="000000" w:sz="4" w:space="0"/>
              <w:bottom w:val="single" w:color="000000" w:sz="4" w:space="0"/>
              <w:right w:val="single" w:color="000000" w:sz="4" w:space="0"/>
            </w:tcBorders>
            <w:shd w:val="clear"/>
            <w:vAlign w:val="center"/>
          </w:tcPr>
          <w:p w14:paraId="0B8EB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合计</w:t>
            </w:r>
          </w:p>
        </w:tc>
        <w:tc>
          <w:tcPr>
            <w:tcW w:w="300" w:type="pct"/>
            <w:tcBorders>
              <w:top w:val="single" w:color="000000" w:sz="4" w:space="0"/>
              <w:left w:val="single" w:color="000000" w:sz="4" w:space="0"/>
              <w:bottom w:val="single" w:color="000000" w:sz="4" w:space="0"/>
              <w:right w:val="single" w:color="000000" w:sz="4" w:space="0"/>
            </w:tcBorders>
            <w:shd w:val="clear"/>
            <w:vAlign w:val="center"/>
          </w:tcPr>
          <w:p w14:paraId="25F38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67CBE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1022" w:type="pct"/>
            <w:tcBorders>
              <w:top w:val="single" w:color="000000" w:sz="4" w:space="0"/>
              <w:left w:val="single" w:color="000000" w:sz="4" w:space="0"/>
              <w:bottom w:val="single" w:color="000000" w:sz="4" w:space="0"/>
              <w:right w:val="single" w:color="000000" w:sz="4" w:space="0"/>
            </w:tcBorders>
            <w:shd w:val="clear"/>
            <w:vAlign w:val="center"/>
          </w:tcPr>
          <w:p w14:paraId="6C1C72E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9DE8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tcBorders>
              <w:top w:val="single" w:color="000000" w:sz="4" w:space="0"/>
              <w:left w:val="single" w:color="000000" w:sz="4" w:space="0"/>
              <w:bottom w:val="single" w:color="000000" w:sz="4" w:space="0"/>
              <w:right w:val="single" w:color="000000" w:sz="4" w:space="0"/>
            </w:tcBorders>
            <w:shd w:val="clear"/>
            <w:vAlign w:val="center"/>
          </w:tcPr>
          <w:p w14:paraId="1F09B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评价结论</w:t>
            </w:r>
          </w:p>
        </w:tc>
        <w:tc>
          <w:tcPr>
            <w:tcW w:w="4609" w:type="pct"/>
            <w:gridSpan w:val="10"/>
            <w:tcBorders>
              <w:top w:val="single" w:color="000000" w:sz="4" w:space="0"/>
              <w:left w:val="single" w:color="000000" w:sz="4" w:space="0"/>
              <w:bottom w:val="single" w:color="000000" w:sz="4" w:space="0"/>
              <w:right w:val="single" w:color="000000" w:sz="4" w:space="0"/>
            </w:tcBorders>
            <w:shd w:val="clear"/>
            <w:vAlign w:val="center"/>
          </w:tcPr>
          <w:p w14:paraId="15453B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自评得分100分。项目立项合理，资金使用合理合规，保障司法警察值勤工作正常开展。</w:t>
            </w:r>
          </w:p>
        </w:tc>
      </w:tr>
      <w:tr w14:paraId="623B9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tcBorders>
              <w:top w:val="single" w:color="000000" w:sz="4" w:space="0"/>
              <w:left w:val="single" w:color="000000" w:sz="4" w:space="0"/>
              <w:bottom w:val="single" w:color="000000" w:sz="4" w:space="0"/>
              <w:right w:val="single" w:color="000000" w:sz="4" w:space="0"/>
            </w:tcBorders>
            <w:shd w:val="clear"/>
            <w:vAlign w:val="center"/>
          </w:tcPr>
          <w:p w14:paraId="0BC08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存在问题</w:t>
            </w:r>
          </w:p>
        </w:tc>
        <w:tc>
          <w:tcPr>
            <w:tcW w:w="4609" w:type="pct"/>
            <w:gridSpan w:val="10"/>
            <w:tcBorders>
              <w:top w:val="single" w:color="000000" w:sz="4" w:space="0"/>
              <w:left w:val="single" w:color="000000" w:sz="4" w:space="0"/>
              <w:bottom w:val="single" w:color="000000" w:sz="4" w:space="0"/>
              <w:right w:val="single" w:color="000000" w:sz="4" w:space="0"/>
            </w:tcBorders>
            <w:shd w:val="clear"/>
            <w:vAlign w:val="center"/>
          </w:tcPr>
          <w:p w14:paraId="4761B4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1B6BE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0" w:type="pct"/>
            <w:tcBorders>
              <w:top w:val="single" w:color="000000" w:sz="4" w:space="0"/>
              <w:left w:val="single" w:color="000000" w:sz="4" w:space="0"/>
              <w:bottom w:val="single" w:color="000000" w:sz="4" w:space="0"/>
              <w:right w:val="single" w:color="000000" w:sz="4" w:space="0"/>
            </w:tcBorders>
            <w:shd w:val="clear"/>
            <w:vAlign w:val="center"/>
          </w:tcPr>
          <w:p w14:paraId="2E460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改进措施</w:t>
            </w:r>
          </w:p>
        </w:tc>
        <w:tc>
          <w:tcPr>
            <w:tcW w:w="4609" w:type="pct"/>
            <w:gridSpan w:val="10"/>
            <w:tcBorders>
              <w:top w:val="single" w:color="000000" w:sz="4" w:space="0"/>
              <w:left w:val="single" w:color="000000" w:sz="4" w:space="0"/>
              <w:bottom w:val="single" w:color="000000" w:sz="4" w:space="0"/>
              <w:right w:val="single" w:color="000000" w:sz="4" w:space="0"/>
            </w:tcBorders>
            <w:shd w:val="clear"/>
            <w:vAlign w:val="center"/>
          </w:tcPr>
          <w:p w14:paraId="0F56B8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71055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2" w:type="pct"/>
            <w:gridSpan w:val="5"/>
            <w:tcBorders>
              <w:top w:val="single" w:color="000000" w:sz="4" w:space="0"/>
              <w:left w:val="single" w:color="000000" w:sz="4" w:space="0"/>
              <w:bottom w:val="single" w:color="000000" w:sz="4" w:space="0"/>
              <w:right w:val="single" w:color="000000" w:sz="4" w:space="0"/>
            </w:tcBorders>
            <w:shd w:val="clear"/>
            <w:vAlign w:val="center"/>
          </w:tcPr>
          <w:p w14:paraId="02D5AB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项目负责人：张颖</w:t>
            </w:r>
          </w:p>
        </w:tc>
        <w:tc>
          <w:tcPr>
            <w:tcW w:w="2717" w:type="pct"/>
            <w:gridSpan w:val="6"/>
            <w:tcBorders>
              <w:top w:val="single" w:color="000000" w:sz="4" w:space="0"/>
              <w:left w:val="single" w:color="000000" w:sz="4" w:space="0"/>
              <w:bottom w:val="single" w:color="000000" w:sz="4" w:space="0"/>
              <w:right w:val="single" w:color="000000" w:sz="4" w:space="0"/>
            </w:tcBorders>
            <w:shd w:val="clear"/>
            <w:vAlign w:val="center"/>
          </w:tcPr>
          <w:p w14:paraId="12F40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财务负责人：冯亮</w:t>
            </w:r>
          </w:p>
        </w:tc>
      </w:tr>
    </w:tbl>
    <w:p w14:paraId="00B1D13F">
      <w:pPr>
        <w:pStyle w:val="5"/>
        <w:spacing w:after="0" w:line="240" w:lineRule="auto"/>
        <w:rPr>
          <w:rFonts w:hint="default" w:ascii="仿宋_GB2312" w:hAnsi="仿宋_GB2312" w:eastAsia="仿宋_GB2312" w:cs="仿宋_GB2312"/>
          <w:sz w:val="32"/>
          <w:szCs w:val="32"/>
          <w:lang w:val="en-US" w:eastAsia="zh-CN"/>
        </w:rPr>
        <w:sectPr>
          <w:pgSz w:w="16838" w:h="11906" w:orient="landscape"/>
          <w:pgMar w:top="1800" w:right="1440" w:bottom="1800" w:left="1440" w:header="720" w:footer="720" w:gutter="0"/>
          <w:pgNumType w:fmt="numberInDash"/>
          <w:cols w:space="720" w:num="1"/>
          <w:docGrid w:type="lines" w:linePitch="312" w:charSpace="0"/>
        </w:sectPr>
      </w:pPr>
    </w:p>
    <w:tbl>
      <w:tblPr>
        <w:tblW w:w="49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66"/>
        <w:gridCol w:w="1934"/>
        <w:gridCol w:w="1136"/>
        <w:gridCol w:w="1234"/>
        <w:gridCol w:w="1082"/>
        <w:gridCol w:w="1066"/>
        <w:gridCol w:w="874"/>
        <w:gridCol w:w="1299"/>
        <w:gridCol w:w="1066"/>
        <w:gridCol w:w="1066"/>
        <w:gridCol w:w="2235"/>
      </w:tblGrid>
      <w:tr w14:paraId="59B6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6"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5E7F2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3"/>
                <w:szCs w:val="13"/>
                <w:u w:val="none"/>
              </w:rPr>
            </w:pPr>
            <w:r>
              <w:rPr>
                <w:rFonts w:hint="eastAsia" w:ascii="黑体" w:hAnsi="黑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3D2C4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067" w:type="pct"/>
            <w:gridSpan w:val="2"/>
            <w:tcBorders>
              <w:top w:val="single" w:color="000000" w:sz="4" w:space="0"/>
              <w:left w:val="single" w:color="000000" w:sz="4" w:space="0"/>
              <w:bottom w:val="single" w:color="000000" w:sz="4" w:space="0"/>
              <w:right w:val="single" w:color="000000" w:sz="4" w:space="0"/>
            </w:tcBorders>
            <w:shd w:val="clear"/>
            <w:vAlign w:val="center"/>
          </w:tcPr>
          <w:p w14:paraId="4F7125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项目名称</w:t>
            </w:r>
          </w:p>
        </w:tc>
        <w:tc>
          <w:tcPr>
            <w:tcW w:w="3932" w:type="pct"/>
            <w:gridSpan w:val="9"/>
            <w:tcBorders>
              <w:top w:val="single" w:color="000000" w:sz="4" w:space="0"/>
              <w:left w:val="single" w:color="000000" w:sz="4" w:space="0"/>
              <w:bottom w:val="single" w:color="000000" w:sz="4" w:space="0"/>
              <w:right w:val="single" w:color="000000" w:sz="4" w:space="0"/>
            </w:tcBorders>
            <w:shd w:val="clear"/>
            <w:vAlign w:val="center"/>
          </w:tcPr>
          <w:p w14:paraId="24016C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聘用制书记员经费</w:t>
            </w:r>
          </w:p>
        </w:tc>
      </w:tr>
      <w:tr w14:paraId="7B8C2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067" w:type="pct"/>
            <w:gridSpan w:val="2"/>
            <w:tcBorders>
              <w:top w:val="single" w:color="000000" w:sz="4" w:space="0"/>
              <w:left w:val="single" w:color="000000" w:sz="4" w:space="0"/>
              <w:bottom w:val="single" w:color="000000" w:sz="4" w:space="0"/>
              <w:right w:val="single" w:color="000000" w:sz="4" w:space="0"/>
            </w:tcBorders>
            <w:shd w:val="clear"/>
            <w:vAlign w:val="center"/>
          </w:tcPr>
          <w:p w14:paraId="0CB326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主管部门</w:t>
            </w:r>
          </w:p>
        </w:tc>
        <w:tc>
          <w:tcPr>
            <w:tcW w:w="1918" w:type="pct"/>
            <w:gridSpan w:val="5"/>
            <w:tcBorders>
              <w:top w:val="single" w:color="000000" w:sz="4" w:space="0"/>
              <w:left w:val="single" w:color="000000" w:sz="4" w:space="0"/>
              <w:bottom w:val="single" w:color="000000" w:sz="4" w:space="0"/>
              <w:right w:val="single" w:color="000000" w:sz="4" w:space="0"/>
            </w:tcBorders>
            <w:shd w:val="clear"/>
            <w:vAlign w:val="center"/>
          </w:tcPr>
          <w:p w14:paraId="094558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广元市昭化区人民检察院部门</w:t>
            </w:r>
          </w:p>
        </w:tc>
        <w:tc>
          <w:tcPr>
            <w:tcW w:w="459" w:type="pct"/>
            <w:tcBorders>
              <w:top w:val="nil"/>
              <w:left w:val="nil"/>
              <w:bottom w:val="nil"/>
              <w:right w:val="nil"/>
            </w:tcBorders>
            <w:shd w:val="clear"/>
            <w:vAlign w:val="center"/>
          </w:tcPr>
          <w:p w14:paraId="313A0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实施单位 （盖章）</w:t>
            </w:r>
          </w:p>
        </w:tc>
        <w:tc>
          <w:tcPr>
            <w:tcW w:w="1554" w:type="pct"/>
            <w:gridSpan w:val="3"/>
            <w:tcBorders>
              <w:top w:val="single" w:color="000000" w:sz="4" w:space="0"/>
              <w:left w:val="single" w:color="000000" w:sz="4" w:space="0"/>
              <w:bottom w:val="single" w:color="000000" w:sz="4" w:space="0"/>
              <w:right w:val="single" w:color="000000" w:sz="4" w:space="0"/>
            </w:tcBorders>
            <w:shd w:val="clear"/>
            <w:vAlign w:val="center"/>
          </w:tcPr>
          <w:p w14:paraId="2D956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w:t>
            </w:r>
          </w:p>
        </w:tc>
      </w:tr>
      <w:tr w14:paraId="10D1E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37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66F6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项目基本情况</w:t>
            </w:r>
          </w:p>
        </w:tc>
        <w:tc>
          <w:tcPr>
            <w:tcW w:w="6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50413B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1.项目年度目标完成情况</w:t>
            </w:r>
          </w:p>
        </w:tc>
        <w:tc>
          <w:tcPr>
            <w:tcW w:w="1918" w:type="pct"/>
            <w:gridSpan w:val="5"/>
            <w:tcBorders>
              <w:top w:val="single" w:color="000000" w:sz="4" w:space="0"/>
              <w:left w:val="single" w:color="000000" w:sz="4" w:space="0"/>
              <w:bottom w:val="single" w:color="000000" w:sz="4" w:space="0"/>
              <w:right w:val="single" w:color="000000" w:sz="4" w:space="0"/>
            </w:tcBorders>
            <w:shd w:val="clear"/>
            <w:vAlign w:val="center"/>
          </w:tcPr>
          <w:p w14:paraId="4AD3D0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项目年度目标</w:t>
            </w:r>
          </w:p>
        </w:tc>
        <w:tc>
          <w:tcPr>
            <w:tcW w:w="2014" w:type="pct"/>
            <w:gridSpan w:val="4"/>
            <w:tcBorders>
              <w:top w:val="single" w:color="000000" w:sz="4" w:space="0"/>
              <w:left w:val="single" w:color="000000" w:sz="4" w:space="0"/>
              <w:bottom w:val="single" w:color="000000" w:sz="4" w:space="0"/>
              <w:right w:val="single" w:color="000000" w:sz="4" w:space="0"/>
            </w:tcBorders>
            <w:shd w:val="clear"/>
            <w:vAlign w:val="center"/>
          </w:tcPr>
          <w:p w14:paraId="56376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年度目标完成情况</w:t>
            </w:r>
          </w:p>
        </w:tc>
      </w:tr>
      <w:tr w14:paraId="08D71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7F0F8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CDFCC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1918" w:type="pct"/>
            <w:gridSpan w:val="5"/>
            <w:tcBorders>
              <w:top w:val="single" w:color="000000" w:sz="4" w:space="0"/>
              <w:left w:val="single" w:color="000000" w:sz="4" w:space="0"/>
              <w:bottom w:val="single" w:color="000000" w:sz="4" w:space="0"/>
              <w:right w:val="single" w:color="000000" w:sz="4" w:space="0"/>
            </w:tcBorders>
            <w:shd w:val="clear"/>
            <w:vAlign w:val="center"/>
          </w:tcPr>
          <w:p w14:paraId="30AC7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辅助检察官办理刑事、民事、行政检察及公益诉讼案件，不断提升司法公信力及群众满意度。</w:t>
            </w:r>
          </w:p>
        </w:tc>
        <w:tc>
          <w:tcPr>
            <w:tcW w:w="2014" w:type="pct"/>
            <w:gridSpan w:val="4"/>
            <w:tcBorders>
              <w:top w:val="single" w:color="000000" w:sz="4" w:space="0"/>
              <w:left w:val="single" w:color="000000" w:sz="4" w:space="0"/>
              <w:bottom w:val="single" w:color="000000" w:sz="4" w:space="0"/>
              <w:right w:val="single" w:color="000000" w:sz="4" w:space="0"/>
            </w:tcBorders>
            <w:shd w:val="clear"/>
            <w:vAlign w:val="center"/>
          </w:tcPr>
          <w:p w14:paraId="0F9DB7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完成了年初设定的目标。</w:t>
            </w:r>
          </w:p>
        </w:tc>
      </w:tr>
      <w:tr w14:paraId="1CB7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0EE45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5BC696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2.项目实施内容及过程概述</w:t>
            </w:r>
          </w:p>
        </w:tc>
        <w:tc>
          <w:tcPr>
            <w:tcW w:w="3932" w:type="pct"/>
            <w:gridSpan w:val="9"/>
            <w:tcBorders>
              <w:top w:val="single" w:color="000000" w:sz="4" w:space="0"/>
              <w:left w:val="single" w:color="000000" w:sz="4" w:space="0"/>
              <w:bottom w:val="single" w:color="000000" w:sz="4" w:space="0"/>
              <w:right w:val="single" w:color="000000" w:sz="4" w:space="0"/>
            </w:tcBorders>
            <w:shd w:val="clear"/>
            <w:vAlign w:val="center"/>
          </w:tcPr>
          <w:p w14:paraId="57A635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通过保障书记员经费，辅助检察官办理刑事、民事、行政检察及公益诉讼案件。</w:t>
            </w:r>
          </w:p>
        </w:tc>
      </w:tr>
      <w:tr w14:paraId="0488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DDAE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预算执行情况（10分）</w:t>
            </w: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7D3B5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年度预算数（万元）</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5252E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年初预算</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0DE736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调整后预算数</w:t>
            </w:r>
          </w:p>
        </w:tc>
        <w:tc>
          <w:tcPr>
            <w:tcW w:w="1074" w:type="pct"/>
            <w:gridSpan w:val="3"/>
            <w:tcBorders>
              <w:top w:val="single" w:color="000000" w:sz="4" w:space="0"/>
              <w:left w:val="single" w:color="000000" w:sz="4" w:space="0"/>
              <w:bottom w:val="single" w:color="000000" w:sz="4" w:space="0"/>
              <w:right w:val="single" w:color="000000" w:sz="4" w:space="0"/>
            </w:tcBorders>
            <w:shd w:val="clear"/>
            <w:vAlign w:val="center"/>
          </w:tcPr>
          <w:p w14:paraId="7E0FC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预算执行数</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3AB0F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预算执行率</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3520F6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3959D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51303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原因</w:t>
            </w:r>
          </w:p>
        </w:tc>
      </w:tr>
      <w:tr w14:paraId="2A33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F10A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29272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总额</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13F6C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4FC75D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61FC6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CD4BD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69AB7A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4435A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6D78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FC15E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795" w:type="pct"/>
            <w:vMerge w:val="restart"/>
            <w:tcBorders>
              <w:top w:val="single" w:color="000000" w:sz="4" w:space="0"/>
              <w:left w:val="single" w:color="000000" w:sz="4" w:space="0"/>
              <w:bottom w:val="single" w:color="000000" w:sz="4" w:space="0"/>
              <w:right w:val="single" w:color="000000" w:sz="4" w:space="0"/>
            </w:tcBorders>
            <w:shd w:val="clear"/>
            <w:vAlign w:val="center"/>
          </w:tcPr>
          <w:p w14:paraId="34BE6C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E6A0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53D26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24FFA9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其中：财政资金</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0C4D2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3D1F32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1BAF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74B5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66906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45.00</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10F10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236A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F4F4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9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1F248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88B3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EE97E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7F711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财政专户管理资金</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0F752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1F8890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074" w:type="pct"/>
            <w:gridSpan w:val="3"/>
            <w:tcBorders>
              <w:top w:val="single" w:color="000000" w:sz="4" w:space="0"/>
              <w:left w:val="single" w:color="000000" w:sz="4" w:space="0"/>
              <w:bottom w:val="single" w:color="000000" w:sz="4" w:space="0"/>
              <w:right w:val="single" w:color="000000" w:sz="4" w:space="0"/>
            </w:tcBorders>
            <w:shd w:val="clear"/>
            <w:vAlign w:val="center"/>
          </w:tcPr>
          <w:p w14:paraId="5B4FC9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3EB30A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CBFE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97C6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9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406ECB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DDF6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4162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73BEB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单位资金</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54F3F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0DEC4C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074" w:type="pct"/>
            <w:gridSpan w:val="3"/>
            <w:tcBorders>
              <w:top w:val="single" w:color="000000" w:sz="4" w:space="0"/>
              <w:left w:val="single" w:color="000000" w:sz="4" w:space="0"/>
              <w:bottom w:val="single" w:color="000000" w:sz="4" w:space="0"/>
              <w:right w:val="single" w:color="000000" w:sz="4" w:space="0"/>
            </w:tcBorders>
            <w:shd w:val="clear"/>
            <w:vAlign w:val="center"/>
          </w:tcPr>
          <w:p w14:paraId="3FE9A8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18083D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E9A6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9578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9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0F9B8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31C2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03DE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19916E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42C96A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2A6EE9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1074" w:type="pct"/>
            <w:gridSpan w:val="3"/>
            <w:tcBorders>
              <w:top w:val="single" w:color="000000" w:sz="4" w:space="0"/>
              <w:left w:val="single" w:color="000000" w:sz="4" w:space="0"/>
              <w:bottom w:val="single" w:color="000000" w:sz="4" w:space="0"/>
              <w:right w:val="single" w:color="000000" w:sz="4" w:space="0"/>
            </w:tcBorders>
            <w:shd w:val="clear"/>
            <w:vAlign w:val="center"/>
          </w:tcPr>
          <w:p w14:paraId="633690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3A7DD6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47F1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96BD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9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CF21A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34A4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restart"/>
            <w:tcBorders>
              <w:top w:val="single" w:color="000000" w:sz="4" w:space="0"/>
              <w:left w:val="single" w:color="000000" w:sz="4" w:space="0"/>
              <w:bottom w:val="nil"/>
              <w:right w:val="single" w:color="000000" w:sz="4" w:space="0"/>
            </w:tcBorders>
            <w:shd w:val="clear"/>
            <w:vAlign w:val="center"/>
          </w:tcPr>
          <w:p w14:paraId="3DEFC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绩效指标（90分）</w:t>
            </w: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37BC0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一级指标</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6DBBE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二级指标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65A7B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三级指标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15999F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指标性质</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B04D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指标值</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231ED3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度量单位</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34E759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完成值</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C50D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49BB6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15550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未完成原因分析</w:t>
            </w:r>
          </w:p>
        </w:tc>
      </w:tr>
      <w:tr w14:paraId="72868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7982DF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vMerge w:val="restart"/>
            <w:tcBorders>
              <w:top w:val="single" w:color="000000" w:sz="4" w:space="0"/>
              <w:left w:val="single" w:color="000000" w:sz="4" w:space="0"/>
              <w:bottom w:val="nil"/>
              <w:right w:val="single" w:color="000000" w:sz="4" w:space="0"/>
            </w:tcBorders>
            <w:shd w:val="clear"/>
            <w:vAlign w:val="center"/>
          </w:tcPr>
          <w:p w14:paraId="7B899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产出指标</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15177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3B424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辅助办理案件数</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BF98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53B6D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200</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24289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件</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56D838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228</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53E90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7F2B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52AD38E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ED0C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3E9F50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vMerge w:val="continue"/>
            <w:tcBorders>
              <w:top w:val="single" w:color="000000" w:sz="4" w:space="0"/>
              <w:left w:val="single" w:color="000000" w:sz="4" w:space="0"/>
              <w:bottom w:val="nil"/>
              <w:right w:val="single" w:color="000000" w:sz="4" w:space="0"/>
            </w:tcBorders>
            <w:shd w:val="clear"/>
            <w:vAlign w:val="center"/>
          </w:tcPr>
          <w:p w14:paraId="3B98DA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35598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质量指标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669626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案件辅助办结案</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A316B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0DA32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85</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3FB22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441E5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764B5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DD46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3FBADD3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44AD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51AB42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vMerge w:val="continue"/>
            <w:tcBorders>
              <w:top w:val="single" w:color="000000" w:sz="4" w:space="0"/>
              <w:left w:val="single" w:color="000000" w:sz="4" w:space="0"/>
              <w:bottom w:val="nil"/>
              <w:right w:val="single" w:color="000000" w:sz="4" w:space="0"/>
            </w:tcBorders>
            <w:shd w:val="clear"/>
            <w:vAlign w:val="center"/>
          </w:tcPr>
          <w:p w14:paraId="65D4A7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72DF5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766E0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书记员保障人数</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35E7C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6BAF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28BC7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人数</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67FAA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17DD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7E69A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134598A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5E3B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670EC9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11AB9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效益指标</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1FCCE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社会效益指标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19ABA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提升司法公信力</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CFDA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F4F94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54ADC5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01078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6996AA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A644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01B3407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03FA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0B8C88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3417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195BD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可持续影响指标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155F7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辅助办案能力不断提升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2ED00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9E59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67132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2094D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76371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47FFF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2F4A585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A550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74D6C8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14FAB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成本指标</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2164D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经济成本指标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101B7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书记员经费</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CAB7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8DC0E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08761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万元</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5F8B3E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45</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3A86A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5B8B2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77FEC97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362A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379" w:type="pct"/>
            <w:vMerge w:val="continue"/>
            <w:tcBorders>
              <w:top w:val="single" w:color="000000" w:sz="4" w:space="0"/>
              <w:left w:val="single" w:color="000000" w:sz="4" w:space="0"/>
              <w:bottom w:val="nil"/>
              <w:right w:val="single" w:color="000000" w:sz="4" w:space="0"/>
            </w:tcBorders>
            <w:shd w:val="clear"/>
            <w:vAlign w:val="center"/>
          </w:tcPr>
          <w:p w14:paraId="192FA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87" w:type="pct"/>
            <w:tcBorders>
              <w:top w:val="single" w:color="000000" w:sz="4" w:space="0"/>
              <w:left w:val="single" w:color="000000" w:sz="4" w:space="0"/>
              <w:bottom w:val="single" w:color="000000" w:sz="4" w:space="0"/>
              <w:right w:val="single" w:color="000000" w:sz="4" w:space="0"/>
            </w:tcBorders>
            <w:shd w:val="clear"/>
            <w:vAlign w:val="center"/>
          </w:tcPr>
          <w:p w14:paraId="4DF28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满意度指标</w:t>
            </w:r>
          </w:p>
        </w:tc>
        <w:tc>
          <w:tcPr>
            <w:tcW w:w="404" w:type="pct"/>
            <w:tcBorders>
              <w:top w:val="single" w:color="000000" w:sz="4" w:space="0"/>
              <w:left w:val="single" w:color="000000" w:sz="4" w:space="0"/>
              <w:bottom w:val="single" w:color="000000" w:sz="4" w:space="0"/>
              <w:right w:val="single" w:color="000000" w:sz="4" w:space="0"/>
            </w:tcBorders>
            <w:shd w:val="clear"/>
            <w:vAlign w:val="center"/>
          </w:tcPr>
          <w:p w14:paraId="2663B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服务对象满意度指标</w:t>
            </w:r>
          </w:p>
        </w:tc>
        <w:tc>
          <w:tcPr>
            <w:tcW w:w="439" w:type="pct"/>
            <w:tcBorders>
              <w:top w:val="single" w:color="000000" w:sz="4" w:space="0"/>
              <w:left w:val="single" w:color="000000" w:sz="4" w:space="0"/>
              <w:bottom w:val="single" w:color="000000" w:sz="4" w:space="0"/>
              <w:right w:val="single" w:color="000000" w:sz="4" w:space="0"/>
            </w:tcBorders>
            <w:shd w:val="clear"/>
            <w:vAlign w:val="center"/>
          </w:tcPr>
          <w:p w14:paraId="5A2D1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提高群众满意度</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17C264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33CB1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90</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14:paraId="039CA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vAlign w:val="center"/>
          </w:tcPr>
          <w:p w14:paraId="7CB11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3D1B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566F44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12</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3A115D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r>
      <w:tr w14:paraId="3C0F7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445" w:type="pct"/>
            <w:gridSpan w:val="8"/>
            <w:tcBorders>
              <w:top w:val="single" w:color="000000" w:sz="4" w:space="0"/>
              <w:left w:val="single" w:color="000000" w:sz="4" w:space="0"/>
              <w:bottom w:val="single" w:color="000000" w:sz="4" w:space="0"/>
              <w:right w:val="single" w:color="000000" w:sz="4" w:space="0"/>
            </w:tcBorders>
            <w:shd w:val="clear"/>
            <w:vAlign w:val="center"/>
          </w:tcPr>
          <w:p w14:paraId="3B2A7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合计</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395E1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14:paraId="0EDA35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795" w:type="pct"/>
            <w:tcBorders>
              <w:top w:val="single" w:color="000000" w:sz="4" w:space="0"/>
              <w:left w:val="single" w:color="000000" w:sz="4" w:space="0"/>
              <w:bottom w:val="single" w:color="000000" w:sz="4" w:space="0"/>
              <w:right w:val="single" w:color="000000" w:sz="4" w:space="0"/>
            </w:tcBorders>
            <w:shd w:val="clear"/>
            <w:vAlign w:val="center"/>
          </w:tcPr>
          <w:p w14:paraId="2550E12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BD0D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4FC5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评价结论</w:t>
            </w:r>
          </w:p>
        </w:tc>
        <w:tc>
          <w:tcPr>
            <w:tcW w:w="4620" w:type="pct"/>
            <w:gridSpan w:val="10"/>
            <w:tcBorders>
              <w:top w:val="single" w:color="000000" w:sz="4" w:space="0"/>
              <w:left w:val="single" w:color="000000" w:sz="4" w:space="0"/>
              <w:bottom w:val="single" w:color="000000" w:sz="4" w:space="0"/>
              <w:right w:val="single" w:color="000000" w:sz="4" w:space="0"/>
            </w:tcBorders>
            <w:shd w:val="clear"/>
            <w:vAlign w:val="center"/>
          </w:tcPr>
          <w:p w14:paraId="12CEA3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自评得分100分。项目立项合理，资金使用合理合规，不断提升司法公信力及群众满意度。</w:t>
            </w:r>
          </w:p>
        </w:tc>
      </w:tr>
      <w:tr w14:paraId="03FAD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tcBorders>
              <w:top w:val="single" w:color="000000" w:sz="4" w:space="0"/>
              <w:left w:val="single" w:color="000000" w:sz="4" w:space="0"/>
              <w:bottom w:val="single" w:color="000000" w:sz="4" w:space="0"/>
              <w:right w:val="single" w:color="000000" w:sz="4" w:space="0"/>
            </w:tcBorders>
            <w:shd w:val="clear"/>
            <w:vAlign w:val="center"/>
          </w:tcPr>
          <w:p w14:paraId="13B05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存在问题</w:t>
            </w:r>
          </w:p>
        </w:tc>
        <w:tc>
          <w:tcPr>
            <w:tcW w:w="4620" w:type="pct"/>
            <w:gridSpan w:val="10"/>
            <w:tcBorders>
              <w:top w:val="single" w:color="000000" w:sz="4" w:space="0"/>
              <w:left w:val="single" w:color="000000" w:sz="4" w:space="0"/>
              <w:bottom w:val="single" w:color="000000" w:sz="4" w:space="0"/>
              <w:right w:val="single" w:color="000000" w:sz="4" w:space="0"/>
            </w:tcBorders>
            <w:shd w:val="clear"/>
            <w:vAlign w:val="center"/>
          </w:tcPr>
          <w:p w14:paraId="3581F7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1D4B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379" w:type="pct"/>
            <w:tcBorders>
              <w:top w:val="single" w:color="000000" w:sz="4" w:space="0"/>
              <w:left w:val="single" w:color="000000" w:sz="4" w:space="0"/>
              <w:bottom w:val="single" w:color="000000" w:sz="4" w:space="0"/>
              <w:right w:val="single" w:color="000000" w:sz="4" w:space="0"/>
            </w:tcBorders>
            <w:shd w:val="clear"/>
            <w:vAlign w:val="center"/>
          </w:tcPr>
          <w:p w14:paraId="2A6C8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改进措施</w:t>
            </w:r>
          </w:p>
        </w:tc>
        <w:tc>
          <w:tcPr>
            <w:tcW w:w="4620" w:type="pct"/>
            <w:gridSpan w:val="10"/>
            <w:tcBorders>
              <w:top w:val="single" w:color="000000" w:sz="4" w:space="0"/>
              <w:left w:val="single" w:color="000000" w:sz="4" w:space="0"/>
              <w:bottom w:val="single" w:color="000000" w:sz="4" w:space="0"/>
              <w:right w:val="single" w:color="000000" w:sz="4" w:space="0"/>
            </w:tcBorders>
            <w:shd w:val="clear"/>
            <w:vAlign w:val="center"/>
          </w:tcPr>
          <w:p w14:paraId="4CBC92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4A1A1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067" w:type="pct"/>
            <w:gridSpan w:val="2"/>
            <w:tcBorders>
              <w:top w:val="single" w:color="000000" w:sz="4" w:space="0"/>
              <w:left w:val="single" w:color="000000" w:sz="4" w:space="0"/>
              <w:bottom w:val="single" w:color="000000" w:sz="4" w:space="0"/>
              <w:right w:val="single" w:color="000000" w:sz="4" w:space="0"/>
            </w:tcBorders>
            <w:shd w:val="clear"/>
            <w:vAlign w:val="center"/>
          </w:tcPr>
          <w:p w14:paraId="46A6CD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项目负责人：张颖</w:t>
            </w:r>
          </w:p>
        </w:tc>
        <w:tc>
          <w:tcPr>
            <w:tcW w:w="3932" w:type="pct"/>
            <w:gridSpan w:val="9"/>
            <w:tcBorders>
              <w:top w:val="single" w:color="000000" w:sz="4" w:space="0"/>
              <w:left w:val="single" w:color="000000" w:sz="4" w:space="0"/>
              <w:bottom w:val="single" w:color="000000" w:sz="4" w:space="0"/>
              <w:right w:val="single" w:color="000000" w:sz="4" w:space="0"/>
            </w:tcBorders>
            <w:shd w:val="clear"/>
            <w:vAlign w:val="center"/>
          </w:tcPr>
          <w:p w14:paraId="77A243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财务负责人：冯亮</w:t>
            </w:r>
          </w:p>
        </w:tc>
      </w:tr>
    </w:tbl>
    <w:p w14:paraId="38DD52C2">
      <w:pPr>
        <w:pStyle w:val="5"/>
        <w:spacing w:after="0" w:line="240" w:lineRule="auto"/>
        <w:rPr>
          <w:rFonts w:hint="eastAsia" w:ascii="仿宋_GB2312" w:hAnsi="仿宋_GB2312" w:eastAsia="仿宋_GB2312" w:cs="仿宋_GB2312"/>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54"/>
        <w:gridCol w:w="1723"/>
        <w:gridCol w:w="1168"/>
        <w:gridCol w:w="2027"/>
        <w:gridCol w:w="754"/>
        <w:gridCol w:w="661"/>
        <w:gridCol w:w="794"/>
        <w:gridCol w:w="1525"/>
        <w:gridCol w:w="1004"/>
        <w:gridCol w:w="763"/>
        <w:gridCol w:w="2801"/>
      </w:tblGrid>
      <w:tr w14:paraId="61277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61B75B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3"/>
                <w:szCs w:val="13"/>
                <w:u w:val="none"/>
              </w:rPr>
            </w:pPr>
            <w:r>
              <w:rPr>
                <w:rFonts w:hint="eastAsia" w:ascii="黑体" w:hAnsi="黑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27531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5" w:type="pct"/>
            <w:gridSpan w:val="2"/>
            <w:tcBorders>
              <w:top w:val="single" w:color="000000" w:sz="4" w:space="0"/>
              <w:left w:val="single" w:color="000000" w:sz="4" w:space="0"/>
              <w:bottom w:val="single" w:color="000000" w:sz="4" w:space="0"/>
              <w:right w:val="single" w:color="000000" w:sz="4" w:space="0"/>
            </w:tcBorders>
            <w:shd w:val="clear"/>
            <w:vAlign w:val="center"/>
          </w:tcPr>
          <w:p w14:paraId="73DCFD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项目名称</w:t>
            </w:r>
          </w:p>
        </w:tc>
        <w:tc>
          <w:tcPr>
            <w:tcW w:w="4054" w:type="pct"/>
            <w:gridSpan w:val="9"/>
            <w:tcBorders>
              <w:top w:val="single" w:color="000000" w:sz="4" w:space="0"/>
              <w:left w:val="single" w:color="000000" w:sz="4" w:space="0"/>
              <w:bottom w:val="single" w:color="000000" w:sz="4" w:space="0"/>
              <w:right w:val="single" w:color="000000" w:sz="4" w:space="0"/>
            </w:tcBorders>
            <w:shd w:val="clear"/>
            <w:vAlign w:val="center"/>
          </w:tcPr>
          <w:p w14:paraId="468D56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乡村振兴工作经费</w:t>
            </w:r>
          </w:p>
        </w:tc>
      </w:tr>
      <w:tr w14:paraId="60268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945" w:type="pct"/>
            <w:gridSpan w:val="2"/>
            <w:tcBorders>
              <w:top w:val="single" w:color="000000" w:sz="4" w:space="0"/>
              <w:left w:val="single" w:color="000000" w:sz="4" w:space="0"/>
              <w:bottom w:val="single" w:color="000000" w:sz="4" w:space="0"/>
              <w:right w:val="single" w:color="000000" w:sz="4" w:space="0"/>
            </w:tcBorders>
            <w:shd w:val="clear"/>
            <w:vAlign w:val="center"/>
          </w:tcPr>
          <w:p w14:paraId="435B85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主管部门</w:t>
            </w:r>
          </w:p>
        </w:tc>
        <w:tc>
          <w:tcPr>
            <w:tcW w:w="1906" w:type="pct"/>
            <w:gridSpan w:val="5"/>
            <w:tcBorders>
              <w:top w:val="single" w:color="000000" w:sz="4" w:space="0"/>
              <w:left w:val="single" w:color="000000" w:sz="4" w:space="0"/>
              <w:bottom w:val="single" w:color="000000" w:sz="4" w:space="0"/>
              <w:right w:val="single" w:color="000000" w:sz="4" w:space="0"/>
            </w:tcBorders>
            <w:shd w:val="clear"/>
            <w:vAlign w:val="center"/>
          </w:tcPr>
          <w:p w14:paraId="281765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广元市昭化区人民检察院部门</w:t>
            </w:r>
          </w:p>
        </w:tc>
        <w:tc>
          <w:tcPr>
            <w:tcW w:w="537" w:type="pct"/>
            <w:tcBorders>
              <w:top w:val="nil"/>
              <w:left w:val="nil"/>
              <w:bottom w:val="nil"/>
              <w:right w:val="nil"/>
            </w:tcBorders>
            <w:shd w:val="clear"/>
            <w:vAlign w:val="center"/>
          </w:tcPr>
          <w:p w14:paraId="39954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实施单位 （盖章）</w:t>
            </w:r>
          </w:p>
        </w:tc>
        <w:tc>
          <w:tcPr>
            <w:tcW w:w="1610" w:type="pct"/>
            <w:gridSpan w:val="3"/>
            <w:tcBorders>
              <w:top w:val="single" w:color="000000" w:sz="4" w:space="0"/>
              <w:left w:val="single" w:color="000000" w:sz="4" w:space="0"/>
              <w:bottom w:val="single" w:color="000000" w:sz="4" w:space="0"/>
              <w:right w:val="single" w:color="000000" w:sz="4" w:space="0"/>
            </w:tcBorders>
            <w:shd w:val="clear"/>
            <w:vAlign w:val="center"/>
          </w:tcPr>
          <w:p w14:paraId="0F45F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w:t>
            </w:r>
          </w:p>
        </w:tc>
      </w:tr>
      <w:tr w14:paraId="7F99C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34155A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项目基本情况</w:t>
            </w:r>
          </w:p>
        </w:tc>
        <w:tc>
          <w:tcPr>
            <w:tcW w:w="607" w:type="pct"/>
            <w:vMerge w:val="restart"/>
            <w:tcBorders>
              <w:top w:val="single" w:color="000000" w:sz="4" w:space="0"/>
              <w:left w:val="single" w:color="000000" w:sz="4" w:space="0"/>
              <w:bottom w:val="single" w:color="000000" w:sz="4" w:space="0"/>
              <w:right w:val="single" w:color="000000" w:sz="4" w:space="0"/>
            </w:tcBorders>
            <w:shd w:val="clear"/>
            <w:vAlign w:val="center"/>
          </w:tcPr>
          <w:p w14:paraId="754D47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1.项目年度目标完成情况</w:t>
            </w:r>
          </w:p>
        </w:tc>
        <w:tc>
          <w:tcPr>
            <w:tcW w:w="1906" w:type="pct"/>
            <w:gridSpan w:val="5"/>
            <w:tcBorders>
              <w:top w:val="single" w:color="000000" w:sz="4" w:space="0"/>
              <w:left w:val="single" w:color="000000" w:sz="4" w:space="0"/>
              <w:bottom w:val="single" w:color="000000" w:sz="4" w:space="0"/>
              <w:right w:val="single" w:color="000000" w:sz="4" w:space="0"/>
            </w:tcBorders>
            <w:shd w:val="clear"/>
            <w:vAlign w:val="center"/>
          </w:tcPr>
          <w:p w14:paraId="55B4F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项目年度目标</w:t>
            </w:r>
          </w:p>
        </w:tc>
        <w:tc>
          <w:tcPr>
            <w:tcW w:w="2148" w:type="pct"/>
            <w:gridSpan w:val="4"/>
            <w:tcBorders>
              <w:top w:val="single" w:color="000000" w:sz="4" w:space="0"/>
              <w:left w:val="single" w:color="000000" w:sz="4" w:space="0"/>
              <w:bottom w:val="single" w:color="000000" w:sz="4" w:space="0"/>
              <w:right w:val="single" w:color="000000" w:sz="4" w:space="0"/>
            </w:tcBorders>
            <w:shd w:val="clear"/>
            <w:vAlign w:val="center"/>
          </w:tcPr>
          <w:p w14:paraId="27CE4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年度目标完成情况</w:t>
            </w:r>
          </w:p>
        </w:tc>
      </w:tr>
      <w:tr w14:paraId="11FC7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3B156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FAF45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1906" w:type="pct"/>
            <w:gridSpan w:val="5"/>
            <w:tcBorders>
              <w:top w:val="single" w:color="000000" w:sz="4" w:space="0"/>
              <w:left w:val="single" w:color="000000" w:sz="4" w:space="0"/>
              <w:bottom w:val="single" w:color="000000" w:sz="4" w:space="0"/>
              <w:right w:val="single" w:color="000000" w:sz="4" w:space="0"/>
            </w:tcBorders>
            <w:shd w:val="clear"/>
            <w:vAlign w:val="center"/>
          </w:tcPr>
          <w:p w14:paraId="0D27B0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助力乡村振兴工作，做好乡村振兴工作，树立检察形象，增强了检察院审判的社会公信力和认同感，提高了人民群众满意度。</w:t>
            </w:r>
          </w:p>
        </w:tc>
        <w:tc>
          <w:tcPr>
            <w:tcW w:w="2148" w:type="pct"/>
            <w:gridSpan w:val="4"/>
            <w:tcBorders>
              <w:top w:val="single" w:color="000000" w:sz="4" w:space="0"/>
              <w:left w:val="single" w:color="000000" w:sz="4" w:space="0"/>
              <w:bottom w:val="single" w:color="000000" w:sz="4" w:space="0"/>
              <w:right w:val="single" w:color="000000" w:sz="4" w:space="0"/>
            </w:tcBorders>
            <w:shd w:val="clear"/>
            <w:vAlign w:val="center"/>
          </w:tcPr>
          <w:p w14:paraId="1AC551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完成了年初设定的目标。</w:t>
            </w:r>
          </w:p>
        </w:tc>
      </w:tr>
      <w:tr w14:paraId="533C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CB26F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56D95F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2.项目实施内容及过程概述</w:t>
            </w:r>
          </w:p>
        </w:tc>
        <w:tc>
          <w:tcPr>
            <w:tcW w:w="4054" w:type="pct"/>
            <w:gridSpan w:val="9"/>
            <w:tcBorders>
              <w:top w:val="single" w:color="000000" w:sz="4" w:space="0"/>
              <w:left w:val="single" w:color="000000" w:sz="4" w:space="0"/>
              <w:bottom w:val="single" w:color="000000" w:sz="4" w:space="0"/>
              <w:right w:val="single" w:color="000000" w:sz="4" w:space="0"/>
            </w:tcBorders>
            <w:shd w:val="clear"/>
            <w:vAlign w:val="center"/>
          </w:tcPr>
          <w:p w14:paraId="717BC2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通过发放乡村振兴工作经费，助力乡村振兴工作，做好乡村振兴工作，树立检察形象。</w:t>
            </w:r>
          </w:p>
        </w:tc>
      </w:tr>
      <w:tr w14:paraId="43DA1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538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预算执行情况（10分）</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6C379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年度预算数（万元）</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78B72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年初预算</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7BE27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调整后预算数</w:t>
            </w:r>
          </w:p>
        </w:tc>
        <w:tc>
          <w:tcPr>
            <w:tcW w:w="779" w:type="pct"/>
            <w:gridSpan w:val="3"/>
            <w:tcBorders>
              <w:top w:val="single" w:color="000000" w:sz="4" w:space="0"/>
              <w:left w:val="single" w:color="000000" w:sz="4" w:space="0"/>
              <w:bottom w:val="single" w:color="000000" w:sz="4" w:space="0"/>
              <w:right w:val="single" w:color="000000" w:sz="4" w:space="0"/>
            </w:tcBorders>
            <w:shd w:val="clear"/>
            <w:vAlign w:val="center"/>
          </w:tcPr>
          <w:p w14:paraId="37354B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预算执行数</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10452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预算执行率</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38F1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3C666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65B529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原因</w:t>
            </w:r>
          </w:p>
        </w:tc>
      </w:tr>
      <w:tr w14:paraId="645CE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E502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49FAB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总额</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24EFF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77E152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3B98C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4BA7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17F8E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6D124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3C5A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3B454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9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E7324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756A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2A42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6216B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其中：财政资金</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467A9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7FB4A0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543A2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714963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643AC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6.00</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5732E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4607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0B28F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9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0351DB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A3D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2B71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733DE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财政专户管理资金</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2D6FD0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341526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779" w:type="pct"/>
            <w:gridSpan w:val="3"/>
            <w:tcBorders>
              <w:top w:val="single" w:color="000000" w:sz="4" w:space="0"/>
              <w:left w:val="single" w:color="000000" w:sz="4" w:space="0"/>
              <w:bottom w:val="single" w:color="000000" w:sz="4" w:space="0"/>
              <w:right w:val="single" w:color="000000" w:sz="4" w:space="0"/>
            </w:tcBorders>
            <w:shd w:val="clear"/>
            <w:vAlign w:val="center"/>
          </w:tcPr>
          <w:p w14:paraId="237726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13AAA5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52CD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484219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9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69082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559F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5BFD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15A3A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单位资金</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6505E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10DE8B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779" w:type="pct"/>
            <w:gridSpan w:val="3"/>
            <w:tcBorders>
              <w:top w:val="single" w:color="000000" w:sz="4" w:space="0"/>
              <w:left w:val="single" w:color="000000" w:sz="4" w:space="0"/>
              <w:bottom w:val="single" w:color="000000" w:sz="4" w:space="0"/>
              <w:right w:val="single" w:color="000000" w:sz="4" w:space="0"/>
            </w:tcBorders>
            <w:shd w:val="clear"/>
            <w:vAlign w:val="center"/>
          </w:tcPr>
          <w:p w14:paraId="7E28C0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288F5F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6219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1B001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9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22E2A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3470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C84A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552B0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其他资金</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0591F1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1EA079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779" w:type="pct"/>
            <w:gridSpan w:val="3"/>
            <w:tcBorders>
              <w:top w:val="single" w:color="000000" w:sz="4" w:space="0"/>
              <w:left w:val="single" w:color="000000" w:sz="4" w:space="0"/>
              <w:bottom w:val="single" w:color="000000" w:sz="4" w:space="0"/>
              <w:right w:val="single" w:color="000000" w:sz="4" w:space="0"/>
            </w:tcBorders>
            <w:shd w:val="clear"/>
            <w:vAlign w:val="center"/>
          </w:tcPr>
          <w:p w14:paraId="06F548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0236D6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3FA2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58C60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9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3EC29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0270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vMerge w:val="restart"/>
            <w:tcBorders>
              <w:top w:val="single" w:color="000000" w:sz="4" w:space="0"/>
              <w:left w:val="single" w:color="000000" w:sz="4" w:space="0"/>
              <w:bottom w:val="nil"/>
              <w:right w:val="single" w:color="000000" w:sz="4" w:space="0"/>
            </w:tcBorders>
            <w:shd w:val="clear"/>
            <w:vAlign w:val="center"/>
          </w:tcPr>
          <w:p w14:paraId="4AB5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绩效指标（90分）</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30E15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一级指标</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681B2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二级指标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472D48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三级指标</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51BFA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指标性质</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1A84E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指标值</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149187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度量单位</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46A97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完成值</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20B4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7DE82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7F1BC7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未完成原因分析</w:t>
            </w:r>
          </w:p>
        </w:tc>
      </w:tr>
      <w:tr w14:paraId="436B1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1568FF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vMerge w:val="restart"/>
            <w:tcBorders>
              <w:top w:val="nil"/>
              <w:left w:val="single" w:color="000000" w:sz="4" w:space="0"/>
              <w:bottom w:val="single" w:color="000000" w:sz="4" w:space="0"/>
              <w:right w:val="single" w:color="000000" w:sz="4" w:space="0"/>
            </w:tcBorders>
            <w:shd w:val="clear"/>
            <w:vAlign w:val="center"/>
          </w:tcPr>
          <w:p w14:paraId="1A920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65F0C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质量指标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18281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提高资金使用效率</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29369B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41317D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38C5A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0E330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921D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24E8D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1210D1A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8AA1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3A50E8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vMerge w:val="continue"/>
            <w:tcBorders>
              <w:top w:val="nil"/>
              <w:left w:val="single" w:color="000000" w:sz="4" w:space="0"/>
              <w:bottom w:val="single" w:color="000000" w:sz="4" w:space="0"/>
              <w:right w:val="single" w:color="000000" w:sz="4" w:space="0"/>
            </w:tcBorders>
            <w:shd w:val="clear"/>
            <w:vAlign w:val="center"/>
          </w:tcPr>
          <w:p w14:paraId="111378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40742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时效指标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678C8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2023年度乡村振兴工作</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248E54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10013B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703C2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0384F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CD6FC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4270D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2335053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720C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044F55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vMerge w:val="continue"/>
            <w:tcBorders>
              <w:top w:val="nil"/>
              <w:left w:val="single" w:color="000000" w:sz="4" w:space="0"/>
              <w:bottom w:val="single" w:color="000000" w:sz="4" w:space="0"/>
              <w:right w:val="single" w:color="000000" w:sz="4" w:space="0"/>
            </w:tcBorders>
            <w:shd w:val="clear"/>
            <w:vAlign w:val="center"/>
          </w:tcPr>
          <w:p w14:paraId="782B8E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3C63C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成本指标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7CC91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厉行节约</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2AC276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2028F5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38117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万元</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041A5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6</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64D2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4CF77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0EFE6C4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A5DA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7F82F3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vAlign w:val="center"/>
          </w:tcPr>
          <w:p w14:paraId="2235C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效益指标</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21587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社会效益指标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0B07A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做好乡村振兴工作，树立检察形象</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34289C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0F5FD5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285C3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26A75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C713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04226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0B49CB2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AF0D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689B1D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849B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2E3B43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可持续发展指标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570B9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助力乡村振兴工作</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7E5795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0E2CD2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1A7A1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152B13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EDFC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142053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616D069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52B4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337" w:type="pct"/>
            <w:vMerge w:val="continue"/>
            <w:tcBorders>
              <w:top w:val="single" w:color="000000" w:sz="4" w:space="0"/>
              <w:left w:val="single" w:color="000000" w:sz="4" w:space="0"/>
              <w:bottom w:val="nil"/>
              <w:right w:val="single" w:color="000000" w:sz="4" w:space="0"/>
            </w:tcBorders>
            <w:shd w:val="clear"/>
            <w:vAlign w:val="center"/>
          </w:tcPr>
          <w:p w14:paraId="4FD724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B416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满意度指标</w:t>
            </w:r>
          </w:p>
        </w:tc>
        <w:tc>
          <w:tcPr>
            <w:tcW w:w="412" w:type="pct"/>
            <w:tcBorders>
              <w:top w:val="single" w:color="000000" w:sz="4" w:space="0"/>
              <w:left w:val="single" w:color="000000" w:sz="4" w:space="0"/>
              <w:bottom w:val="single" w:color="000000" w:sz="4" w:space="0"/>
              <w:right w:val="single" w:color="000000" w:sz="4" w:space="0"/>
            </w:tcBorders>
            <w:shd w:val="clear"/>
            <w:vAlign w:val="center"/>
          </w:tcPr>
          <w:p w14:paraId="1075D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服务对象满意度指标</w:t>
            </w:r>
          </w:p>
        </w:tc>
        <w:tc>
          <w:tcPr>
            <w:tcW w:w="715" w:type="pct"/>
            <w:tcBorders>
              <w:top w:val="single" w:color="000000" w:sz="4" w:space="0"/>
              <w:left w:val="single" w:color="000000" w:sz="4" w:space="0"/>
              <w:bottom w:val="single" w:color="000000" w:sz="4" w:space="0"/>
              <w:right w:val="single" w:color="000000" w:sz="4" w:space="0"/>
            </w:tcBorders>
            <w:shd w:val="clear"/>
            <w:vAlign w:val="center"/>
          </w:tcPr>
          <w:p w14:paraId="56270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提升人民群众满意度</w:t>
            </w:r>
          </w:p>
        </w:tc>
        <w:tc>
          <w:tcPr>
            <w:tcW w:w="265" w:type="pct"/>
            <w:tcBorders>
              <w:top w:val="single" w:color="000000" w:sz="4" w:space="0"/>
              <w:left w:val="single" w:color="000000" w:sz="4" w:space="0"/>
              <w:bottom w:val="single" w:color="000000" w:sz="4" w:space="0"/>
              <w:right w:val="single" w:color="000000" w:sz="4" w:space="0"/>
            </w:tcBorders>
            <w:shd w:val="clear"/>
            <w:vAlign w:val="center"/>
          </w:tcPr>
          <w:p w14:paraId="62F77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vAlign w:val="center"/>
          </w:tcPr>
          <w:p w14:paraId="557616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95</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14:paraId="4D6F5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537" w:type="pct"/>
            <w:tcBorders>
              <w:top w:val="single" w:color="000000" w:sz="4" w:space="0"/>
              <w:left w:val="single" w:color="000000" w:sz="4" w:space="0"/>
              <w:bottom w:val="single" w:color="000000" w:sz="4" w:space="0"/>
              <w:right w:val="single" w:color="000000" w:sz="4" w:space="0"/>
            </w:tcBorders>
            <w:shd w:val="clear"/>
            <w:vAlign w:val="center"/>
          </w:tcPr>
          <w:p w14:paraId="1AA82A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0A2E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0186B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15</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54A07F6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89B3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9" w:type="pct"/>
            <w:gridSpan w:val="8"/>
            <w:tcBorders>
              <w:top w:val="single" w:color="000000" w:sz="4" w:space="0"/>
              <w:left w:val="single" w:color="000000" w:sz="4" w:space="0"/>
              <w:bottom w:val="single" w:color="000000" w:sz="4" w:space="0"/>
              <w:right w:val="single" w:color="000000" w:sz="4" w:space="0"/>
            </w:tcBorders>
            <w:shd w:val="clear"/>
            <w:vAlign w:val="center"/>
          </w:tcPr>
          <w:p w14:paraId="3B2F35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合计</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BDAE6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vAlign w:val="center"/>
          </w:tcPr>
          <w:p w14:paraId="2FFDD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987" w:type="pct"/>
            <w:tcBorders>
              <w:top w:val="single" w:color="000000" w:sz="4" w:space="0"/>
              <w:left w:val="single" w:color="000000" w:sz="4" w:space="0"/>
              <w:bottom w:val="single" w:color="000000" w:sz="4" w:space="0"/>
              <w:right w:val="single" w:color="000000" w:sz="4" w:space="0"/>
            </w:tcBorders>
            <w:shd w:val="clear"/>
            <w:vAlign w:val="center"/>
          </w:tcPr>
          <w:p w14:paraId="0FBB5CB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122C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tcBorders>
              <w:top w:val="single" w:color="000000" w:sz="4" w:space="0"/>
              <w:left w:val="single" w:color="000000" w:sz="4" w:space="0"/>
              <w:bottom w:val="single" w:color="000000" w:sz="4" w:space="0"/>
              <w:right w:val="single" w:color="000000" w:sz="4" w:space="0"/>
            </w:tcBorders>
            <w:shd w:val="clear"/>
            <w:vAlign w:val="center"/>
          </w:tcPr>
          <w:p w14:paraId="277062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vAlign w:val="center"/>
          </w:tcPr>
          <w:p w14:paraId="03F613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自评得分100分。项目立项合理，资金使用合理合规，增强了检察院审判的社会公信力和认同感，提高了人民群众满意度。</w:t>
            </w:r>
          </w:p>
        </w:tc>
      </w:tr>
      <w:tr w14:paraId="79CC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tcBorders>
              <w:top w:val="single" w:color="000000" w:sz="4" w:space="0"/>
              <w:left w:val="single" w:color="000000" w:sz="4" w:space="0"/>
              <w:bottom w:val="single" w:color="000000" w:sz="4" w:space="0"/>
              <w:right w:val="single" w:color="000000" w:sz="4" w:space="0"/>
            </w:tcBorders>
            <w:shd w:val="clear"/>
            <w:vAlign w:val="center"/>
          </w:tcPr>
          <w:p w14:paraId="20BE9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vAlign w:val="center"/>
          </w:tcPr>
          <w:p w14:paraId="15254C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67AAB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7" w:type="pct"/>
            <w:tcBorders>
              <w:top w:val="single" w:color="000000" w:sz="4" w:space="0"/>
              <w:left w:val="single" w:color="000000" w:sz="4" w:space="0"/>
              <w:bottom w:val="single" w:color="000000" w:sz="4" w:space="0"/>
              <w:right w:val="single" w:color="000000" w:sz="4" w:space="0"/>
            </w:tcBorders>
            <w:shd w:val="clear"/>
            <w:vAlign w:val="center"/>
          </w:tcPr>
          <w:p w14:paraId="4086D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vAlign w:val="center"/>
          </w:tcPr>
          <w:p w14:paraId="7CB31E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46D6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38" w:type="pct"/>
            <w:gridSpan w:val="5"/>
            <w:tcBorders>
              <w:top w:val="single" w:color="000000" w:sz="4" w:space="0"/>
              <w:left w:val="single" w:color="000000" w:sz="4" w:space="0"/>
              <w:bottom w:val="single" w:color="000000" w:sz="4" w:space="0"/>
              <w:right w:val="single" w:color="000000" w:sz="4" w:space="0"/>
            </w:tcBorders>
            <w:shd w:val="clear"/>
            <w:vAlign w:val="center"/>
          </w:tcPr>
          <w:p w14:paraId="112248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项目负责人：张颖</w:t>
            </w:r>
          </w:p>
        </w:tc>
        <w:tc>
          <w:tcPr>
            <w:tcW w:w="2661" w:type="pct"/>
            <w:gridSpan w:val="6"/>
            <w:tcBorders>
              <w:top w:val="single" w:color="000000" w:sz="4" w:space="0"/>
              <w:left w:val="single" w:color="000000" w:sz="4" w:space="0"/>
              <w:bottom w:val="single" w:color="000000" w:sz="4" w:space="0"/>
              <w:right w:val="single" w:color="000000" w:sz="4" w:space="0"/>
            </w:tcBorders>
            <w:shd w:val="clear"/>
            <w:vAlign w:val="center"/>
          </w:tcPr>
          <w:p w14:paraId="11EA92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财务负责人：冯亮</w:t>
            </w:r>
          </w:p>
        </w:tc>
      </w:tr>
    </w:tbl>
    <w:p w14:paraId="25CB9543">
      <w:pPr>
        <w:spacing w:line="240" w:lineRule="auto"/>
        <w:jc w:val="left"/>
        <w:outlineLvl w:val="0"/>
        <w:rPr>
          <w:rFonts w:hint="eastAsia" w:ascii="黑体" w:hAnsi="黑体" w:eastAsia="黑体" w:cs="黑体"/>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W w:w="488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11"/>
        <w:gridCol w:w="1508"/>
        <w:gridCol w:w="1414"/>
        <w:gridCol w:w="2181"/>
        <w:gridCol w:w="887"/>
        <w:gridCol w:w="1328"/>
        <w:gridCol w:w="915"/>
        <w:gridCol w:w="1192"/>
        <w:gridCol w:w="779"/>
        <w:gridCol w:w="779"/>
        <w:gridCol w:w="1965"/>
      </w:tblGrid>
      <w:tr w14:paraId="3E821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41218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3"/>
                <w:szCs w:val="13"/>
                <w:u w:val="none"/>
              </w:rPr>
            </w:pPr>
            <w:r>
              <w:rPr>
                <w:rFonts w:hint="eastAsia" w:ascii="黑体" w:hAnsi="黑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770B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873" w:type="pct"/>
            <w:gridSpan w:val="2"/>
            <w:tcBorders>
              <w:top w:val="single" w:color="000000" w:sz="4" w:space="0"/>
              <w:left w:val="single" w:color="000000" w:sz="4" w:space="0"/>
              <w:bottom w:val="single" w:color="000000" w:sz="4" w:space="0"/>
              <w:right w:val="single" w:color="000000" w:sz="4" w:space="0"/>
            </w:tcBorders>
            <w:shd w:val="clear"/>
            <w:vAlign w:val="center"/>
          </w:tcPr>
          <w:p w14:paraId="7E1F5C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项目名称</w:t>
            </w:r>
          </w:p>
        </w:tc>
        <w:tc>
          <w:tcPr>
            <w:tcW w:w="4126" w:type="pct"/>
            <w:gridSpan w:val="9"/>
            <w:tcBorders>
              <w:top w:val="single" w:color="000000" w:sz="4" w:space="0"/>
              <w:left w:val="single" w:color="000000" w:sz="4" w:space="0"/>
              <w:bottom w:val="single" w:color="000000" w:sz="4" w:space="0"/>
              <w:right w:val="single" w:color="000000" w:sz="4" w:space="0"/>
            </w:tcBorders>
            <w:shd w:val="clear"/>
            <w:vAlign w:val="center"/>
          </w:tcPr>
          <w:p w14:paraId="33EB8C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购买社会化服务经费</w:t>
            </w:r>
          </w:p>
        </w:tc>
      </w:tr>
      <w:tr w14:paraId="1D652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873" w:type="pct"/>
            <w:gridSpan w:val="2"/>
            <w:tcBorders>
              <w:top w:val="single" w:color="000000" w:sz="4" w:space="0"/>
              <w:left w:val="single" w:color="000000" w:sz="4" w:space="0"/>
              <w:bottom w:val="single" w:color="000000" w:sz="4" w:space="0"/>
              <w:right w:val="single" w:color="000000" w:sz="4" w:space="0"/>
            </w:tcBorders>
            <w:shd w:val="clear"/>
            <w:vAlign w:val="center"/>
          </w:tcPr>
          <w:p w14:paraId="66C39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主管部门</w:t>
            </w:r>
          </w:p>
        </w:tc>
        <w:tc>
          <w:tcPr>
            <w:tcW w:w="2426" w:type="pct"/>
            <w:gridSpan w:val="5"/>
            <w:tcBorders>
              <w:top w:val="single" w:color="000000" w:sz="4" w:space="0"/>
              <w:left w:val="single" w:color="000000" w:sz="4" w:space="0"/>
              <w:bottom w:val="single" w:color="000000" w:sz="4" w:space="0"/>
              <w:right w:val="single" w:color="000000" w:sz="4" w:space="0"/>
            </w:tcBorders>
            <w:shd w:val="clear"/>
            <w:vAlign w:val="center"/>
          </w:tcPr>
          <w:p w14:paraId="748AF3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广元市昭化区人民检察院部门</w:t>
            </w:r>
          </w:p>
        </w:tc>
        <w:tc>
          <w:tcPr>
            <w:tcW w:w="428" w:type="pct"/>
            <w:tcBorders>
              <w:top w:val="nil"/>
              <w:left w:val="nil"/>
              <w:bottom w:val="nil"/>
              <w:right w:val="nil"/>
            </w:tcBorders>
            <w:shd w:val="clear"/>
            <w:vAlign w:val="center"/>
          </w:tcPr>
          <w:p w14:paraId="181B0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实施单位 （盖章）</w:t>
            </w:r>
          </w:p>
        </w:tc>
        <w:tc>
          <w:tcPr>
            <w:tcW w:w="1271" w:type="pct"/>
            <w:gridSpan w:val="3"/>
            <w:tcBorders>
              <w:top w:val="single" w:color="000000" w:sz="4" w:space="0"/>
              <w:left w:val="single" w:color="000000" w:sz="4" w:space="0"/>
              <w:bottom w:val="single" w:color="000000" w:sz="4" w:space="0"/>
              <w:right w:val="single" w:color="000000" w:sz="4" w:space="0"/>
            </w:tcBorders>
            <w:shd w:val="clear"/>
            <w:vAlign w:val="center"/>
          </w:tcPr>
          <w:p w14:paraId="4101D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广元市昭化区人民检察院</w:t>
            </w:r>
          </w:p>
        </w:tc>
      </w:tr>
      <w:tr w14:paraId="78B61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23CE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项目基本情况</w:t>
            </w:r>
          </w:p>
        </w:tc>
        <w:tc>
          <w:tcPr>
            <w:tcW w:w="544"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BBC0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1.项目年度目标完成情况</w:t>
            </w:r>
          </w:p>
        </w:tc>
        <w:tc>
          <w:tcPr>
            <w:tcW w:w="2426" w:type="pct"/>
            <w:gridSpan w:val="5"/>
            <w:tcBorders>
              <w:top w:val="single" w:color="000000" w:sz="4" w:space="0"/>
              <w:left w:val="single" w:color="000000" w:sz="4" w:space="0"/>
              <w:bottom w:val="single" w:color="000000" w:sz="4" w:space="0"/>
              <w:right w:val="single" w:color="000000" w:sz="4" w:space="0"/>
            </w:tcBorders>
            <w:shd w:val="clear"/>
            <w:vAlign w:val="center"/>
          </w:tcPr>
          <w:p w14:paraId="40374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项目年度目标</w:t>
            </w:r>
          </w:p>
        </w:tc>
        <w:tc>
          <w:tcPr>
            <w:tcW w:w="1700" w:type="pct"/>
            <w:gridSpan w:val="4"/>
            <w:tcBorders>
              <w:top w:val="single" w:color="000000" w:sz="4" w:space="0"/>
              <w:left w:val="single" w:color="000000" w:sz="4" w:space="0"/>
              <w:bottom w:val="single" w:color="000000" w:sz="4" w:space="0"/>
              <w:right w:val="single" w:color="000000" w:sz="4" w:space="0"/>
            </w:tcBorders>
            <w:shd w:val="clear"/>
            <w:vAlign w:val="center"/>
          </w:tcPr>
          <w:p w14:paraId="3BEF9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年度目标完成情况</w:t>
            </w:r>
          </w:p>
        </w:tc>
      </w:tr>
      <w:tr w14:paraId="5A829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C6E119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54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829FE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2426" w:type="pct"/>
            <w:gridSpan w:val="5"/>
            <w:tcBorders>
              <w:top w:val="single" w:color="000000" w:sz="4" w:space="0"/>
              <w:left w:val="single" w:color="000000" w:sz="4" w:space="0"/>
              <w:bottom w:val="single" w:color="000000" w:sz="4" w:space="0"/>
              <w:right w:val="single" w:color="000000" w:sz="4" w:space="0"/>
            </w:tcBorders>
            <w:shd w:val="clear"/>
            <w:vAlign w:val="center"/>
          </w:tcPr>
          <w:p w14:paraId="0979A9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通过购买专业化社会服务，引入社会中介机构，大力推动我院检察工作事业持续健康发展。</w:t>
            </w:r>
          </w:p>
        </w:tc>
        <w:tc>
          <w:tcPr>
            <w:tcW w:w="1700" w:type="pct"/>
            <w:gridSpan w:val="4"/>
            <w:tcBorders>
              <w:top w:val="single" w:color="000000" w:sz="4" w:space="0"/>
              <w:left w:val="single" w:color="000000" w:sz="4" w:space="0"/>
              <w:bottom w:val="single" w:color="000000" w:sz="4" w:space="0"/>
              <w:right w:val="single" w:color="000000" w:sz="4" w:space="0"/>
            </w:tcBorders>
            <w:shd w:val="clear"/>
            <w:vAlign w:val="center"/>
          </w:tcPr>
          <w:p w14:paraId="0E11DB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聘请三方公司提供专业支持辅助办案，从业人员已具备相应的资质证书，从而提高了我院的工作效率。</w:t>
            </w:r>
          </w:p>
        </w:tc>
      </w:tr>
      <w:tr w14:paraId="61190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F295F3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1E41F9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2.项目实施内容及过程概述</w:t>
            </w:r>
          </w:p>
        </w:tc>
        <w:tc>
          <w:tcPr>
            <w:tcW w:w="4126" w:type="pct"/>
            <w:gridSpan w:val="9"/>
            <w:tcBorders>
              <w:top w:val="single" w:color="000000" w:sz="4" w:space="0"/>
              <w:left w:val="single" w:color="000000" w:sz="4" w:space="0"/>
              <w:bottom w:val="single" w:color="000000" w:sz="4" w:space="0"/>
              <w:right w:val="single" w:color="000000" w:sz="4" w:space="0"/>
            </w:tcBorders>
            <w:shd w:val="clear"/>
            <w:vAlign w:val="center"/>
          </w:tcPr>
          <w:p w14:paraId="12AD65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聘请三方公司为我院提供专业支持辅助办案。</w:t>
            </w:r>
          </w:p>
        </w:tc>
      </w:tr>
      <w:tr w14:paraId="125C1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9380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预算执行情况（10分）</w:t>
            </w: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241B4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5077D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年初预算</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6EAB5E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调整后预算数</w:t>
            </w:r>
          </w:p>
        </w:tc>
        <w:tc>
          <w:tcPr>
            <w:tcW w:w="1127" w:type="pct"/>
            <w:gridSpan w:val="3"/>
            <w:tcBorders>
              <w:top w:val="single" w:color="000000" w:sz="4" w:space="0"/>
              <w:left w:val="single" w:color="000000" w:sz="4" w:space="0"/>
              <w:bottom w:val="single" w:color="000000" w:sz="4" w:space="0"/>
              <w:right w:val="single" w:color="000000" w:sz="4" w:space="0"/>
            </w:tcBorders>
            <w:shd w:val="clear"/>
            <w:vAlign w:val="center"/>
          </w:tcPr>
          <w:p w14:paraId="47540D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预算执行数</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6AFF1E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预算执行率</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06A24A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38D312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3D10D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原因</w:t>
            </w:r>
          </w:p>
        </w:tc>
      </w:tr>
      <w:tr w14:paraId="77816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8114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783C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6144B0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42E35B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11C3F3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07F52B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6B305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6215B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6354E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02B78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707" w:type="pct"/>
            <w:vMerge w:val="restart"/>
            <w:tcBorders>
              <w:top w:val="single" w:color="000000" w:sz="4" w:space="0"/>
              <w:left w:val="single" w:color="000000" w:sz="4" w:space="0"/>
              <w:bottom w:val="single" w:color="000000" w:sz="4" w:space="0"/>
              <w:right w:val="single" w:color="000000" w:sz="4" w:space="0"/>
            </w:tcBorders>
            <w:shd w:val="clear"/>
            <w:vAlign w:val="center"/>
          </w:tcPr>
          <w:p w14:paraId="7FF005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C899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D4DE2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21AFF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17FDED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26708C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4B826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70483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07E851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5.00</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07668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4C8D3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2723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08B6E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7909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C409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69FD3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754F7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66F8F0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127" w:type="pct"/>
            <w:gridSpan w:val="3"/>
            <w:tcBorders>
              <w:top w:val="single" w:color="000000" w:sz="4" w:space="0"/>
              <w:left w:val="single" w:color="000000" w:sz="4" w:space="0"/>
              <w:bottom w:val="single" w:color="000000" w:sz="4" w:space="0"/>
              <w:right w:val="single" w:color="000000" w:sz="4" w:space="0"/>
            </w:tcBorders>
            <w:shd w:val="clear"/>
            <w:vAlign w:val="center"/>
          </w:tcPr>
          <w:p w14:paraId="405756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0D908F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2EA9C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23D28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562E0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0C73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5BCA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4054C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59B42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0.00</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12E3B6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127" w:type="pct"/>
            <w:gridSpan w:val="3"/>
            <w:tcBorders>
              <w:top w:val="single" w:color="000000" w:sz="4" w:space="0"/>
              <w:left w:val="single" w:color="000000" w:sz="4" w:space="0"/>
              <w:bottom w:val="single" w:color="000000" w:sz="4" w:space="0"/>
              <w:right w:val="single" w:color="000000" w:sz="4" w:space="0"/>
            </w:tcBorders>
            <w:shd w:val="clear"/>
            <w:vAlign w:val="center"/>
          </w:tcPr>
          <w:p w14:paraId="4C13F0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271151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77603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4A413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5A62B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5B67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FF23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3D7D3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44124D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2395E7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1127" w:type="pct"/>
            <w:gridSpan w:val="3"/>
            <w:tcBorders>
              <w:top w:val="single" w:color="000000" w:sz="4" w:space="0"/>
              <w:left w:val="single" w:color="000000" w:sz="4" w:space="0"/>
              <w:bottom w:val="single" w:color="000000" w:sz="4" w:space="0"/>
              <w:right w:val="single" w:color="000000" w:sz="4" w:space="0"/>
            </w:tcBorders>
            <w:shd w:val="clear"/>
            <w:vAlign w:val="center"/>
          </w:tcPr>
          <w:p w14:paraId="24DEA9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608084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0A1DD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90EB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7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0F5E7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5977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31DB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绩效指标（90分）</w:t>
            </w: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00841C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1811B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二级指标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38E16C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三级指标</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4A8AF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指标性质</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6DB7E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指标值</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61CFC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度量单位</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722E6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完成值</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687A9B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权重</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B4052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得分</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1851A5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未完成原因分析</w:t>
            </w:r>
          </w:p>
        </w:tc>
      </w:tr>
      <w:tr w14:paraId="38FB7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C38E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vMerge w:val="restart"/>
            <w:tcBorders>
              <w:top w:val="single" w:color="000000" w:sz="4" w:space="0"/>
              <w:left w:val="single" w:color="000000" w:sz="4" w:space="0"/>
              <w:bottom w:val="single" w:color="000000" w:sz="4" w:space="0"/>
              <w:right w:val="single" w:color="000000" w:sz="4" w:space="0"/>
            </w:tcBorders>
            <w:shd w:val="clear"/>
            <w:vAlign w:val="center"/>
          </w:tcPr>
          <w:p w14:paraId="3876C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234C8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23847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到岗服务次数</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7F968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1551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23581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次</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01DD20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2C33E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14</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BB13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14</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43EC64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r>
      <w:tr w14:paraId="0E5DD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B7DB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6629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2EFD2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数量指标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7D745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三方公司提供专业支持辅助办案</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7AF21A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689D1D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418C5D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4222E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65A3A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14</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3F510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14</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20998EA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0F5C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EA5C3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465A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0DF28F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质量指标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1539E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从业人员具备相应资质证书</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2BBFA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00EDF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达标</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3AA4B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年</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5C498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达标</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6ABD0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7782F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1FBCC2B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43EE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8F06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vMerge w:val="restart"/>
            <w:tcBorders>
              <w:top w:val="single" w:color="000000" w:sz="4" w:space="0"/>
              <w:left w:val="single" w:color="000000" w:sz="4" w:space="0"/>
              <w:bottom w:val="single" w:color="000000" w:sz="4" w:space="0"/>
              <w:right w:val="single" w:color="000000" w:sz="4" w:space="0"/>
            </w:tcBorders>
            <w:shd w:val="clear"/>
            <w:vAlign w:val="center"/>
          </w:tcPr>
          <w:p w14:paraId="70A60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5C4C3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社会效益指标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53A235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显著提升工作效率</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705AAC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6ED9B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734D8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46359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38DB6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44645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446F976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6D1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712D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E3D2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2C37B9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可持续影响指标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3E466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显著提升工作效率</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5411F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定性</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44428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38E513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优良中差</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7703C1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优</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2C9C1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4F12B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36DE5D0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F161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81FC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66290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2BFB82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服务对象满意度指标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3931C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检查购买业务对工作提高的满意度</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0836AD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186B8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95</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6C8D5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369B8E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95</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447529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2C909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4788FE5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7B32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088D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544" w:type="pct"/>
            <w:tcBorders>
              <w:top w:val="single" w:color="000000" w:sz="4" w:space="0"/>
              <w:left w:val="single" w:color="000000" w:sz="4" w:space="0"/>
              <w:bottom w:val="single" w:color="000000" w:sz="4" w:space="0"/>
              <w:right w:val="single" w:color="000000" w:sz="4" w:space="0"/>
            </w:tcBorders>
            <w:shd w:val="clear"/>
            <w:vAlign w:val="center"/>
          </w:tcPr>
          <w:p w14:paraId="3D225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成本指标</w:t>
            </w:r>
          </w:p>
        </w:tc>
        <w:tc>
          <w:tcPr>
            <w:tcW w:w="510" w:type="pct"/>
            <w:tcBorders>
              <w:top w:val="single" w:color="000000" w:sz="4" w:space="0"/>
              <w:left w:val="single" w:color="000000" w:sz="4" w:space="0"/>
              <w:bottom w:val="single" w:color="000000" w:sz="4" w:space="0"/>
              <w:right w:val="single" w:color="000000" w:sz="4" w:space="0"/>
            </w:tcBorders>
            <w:shd w:val="clear"/>
            <w:vAlign w:val="center"/>
          </w:tcPr>
          <w:p w14:paraId="2B686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经济成本指标</w:t>
            </w:r>
          </w:p>
        </w:tc>
        <w:tc>
          <w:tcPr>
            <w:tcW w:w="787" w:type="pct"/>
            <w:tcBorders>
              <w:top w:val="single" w:color="000000" w:sz="4" w:space="0"/>
              <w:left w:val="single" w:color="000000" w:sz="4" w:space="0"/>
              <w:bottom w:val="single" w:color="000000" w:sz="4" w:space="0"/>
              <w:right w:val="single" w:color="000000" w:sz="4" w:space="0"/>
            </w:tcBorders>
            <w:shd w:val="clear"/>
            <w:vAlign w:val="center"/>
          </w:tcPr>
          <w:p w14:paraId="73B6A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社会化服务经费</w:t>
            </w:r>
          </w:p>
        </w:tc>
        <w:tc>
          <w:tcPr>
            <w:tcW w:w="318" w:type="pct"/>
            <w:tcBorders>
              <w:top w:val="single" w:color="000000" w:sz="4" w:space="0"/>
              <w:left w:val="single" w:color="000000" w:sz="4" w:space="0"/>
              <w:bottom w:val="single" w:color="000000" w:sz="4" w:space="0"/>
              <w:right w:val="single" w:color="000000" w:sz="4" w:space="0"/>
            </w:tcBorders>
            <w:shd w:val="clear"/>
            <w:vAlign w:val="center"/>
          </w:tcPr>
          <w:p w14:paraId="36EE0E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vAlign w:val="center"/>
          </w:tcPr>
          <w:p w14:paraId="0765A9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47772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万元</w:t>
            </w:r>
          </w:p>
        </w:tc>
        <w:tc>
          <w:tcPr>
            <w:tcW w:w="428" w:type="pct"/>
            <w:tcBorders>
              <w:top w:val="single" w:color="000000" w:sz="4" w:space="0"/>
              <w:left w:val="single" w:color="000000" w:sz="4" w:space="0"/>
              <w:bottom w:val="single" w:color="000000" w:sz="4" w:space="0"/>
              <w:right w:val="single" w:color="000000" w:sz="4" w:space="0"/>
            </w:tcBorders>
            <w:shd w:val="clear"/>
            <w:vAlign w:val="center"/>
          </w:tcPr>
          <w:p w14:paraId="77F29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31C7E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7E47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13</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36C317F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0BD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728" w:type="pct"/>
            <w:gridSpan w:val="8"/>
            <w:tcBorders>
              <w:top w:val="single" w:color="000000" w:sz="4" w:space="0"/>
              <w:left w:val="single" w:color="000000" w:sz="4" w:space="0"/>
              <w:bottom w:val="single" w:color="000000" w:sz="4" w:space="0"/>
              <w:right w:val="single" w:color="000000" w:sz="4" w:space="0"/>
            </w:tcBorders>
            <w:shd w:val="clear"/>
            <w:vAlign w:val="center"/>
          </w:tcPr>
          <w:p w14:paraId="26C29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合计</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3E42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96FD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100</w:t>
            </w:r>
          </w:p>
        </w:tc>
        <w:tc>
          <w:tcPr>
            <w:tcW w:w="707" w:type="pct"/>
            <w:tcBorders>
              <w:top w:val="single" w:color="000000" w:sz="4" w:space="0"/>
              <w:left w:val="single" w:color="000000" w:sz="4" w:space="0"/>
              <w:bottom w:val="single" w:color="000000" w:sz="4" w:space="0"/>
              <w:right w:val="single" w:color="000000" w:sz="4" w:space="0"/>
            </w:tcBorders>
            <w:shd w:val="clear"/>
            <w:vAlign w:val="center"/>
          </w:tcPr>
          <w:p w14:paraId="50159B2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7BC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tcBorders>
              <w:top w:val="single" w:color="000000" w:sz="4" w:space="0"/>
              <w:left w:val="single" w:color="000000" w:sz="4" w:space="0"/>
              <w:bottom w:val="single" w:color="000000" w:sz="4" w:space="0"/>
              <w:right w:val="single" w:color="000000" w:sz="4" w:space="0"/>
            </w:tcBorders>
            <w:shd w:val="clear"/>
            <w:vAlign w:val="center"/>
          </w:tcPr>
          <w:p w14:paraId="5BA88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评价结论</w:t>
            </w:r>
          </w:p>
        </w:tc>
        <w:tc>
          <w:tcPr>
            <w:tcW w:w="4670" w:type="pct"/>
            <w:gridSpan w:val="10"/>
            <w:tcBorders>
              <w:top w:val="single" w:color="000000" w:sz="4" w:space="0"/>
              <w:left w:val="single" w:color="000000" w:sz="4" w:space="0"/>
              <w:bottom w:val="single" w:color="000000" w:sz="4" w:space="0"/>
              <w:right w:val="single" w:color="000000" w:sz="4" w:space="0"/>
            </w:tcBorders>
            <w:shd w:val="clear"/>
            <w:vAlign w:val="center"/>
          </w:tcPr>
          <w:p w14:paraId="5B770C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自评得分100分。项目立项合理，资金使用合理合规，通过聘请三方公司提供专业支持辅助办案，提高了我院的工作效率。</w:t>
            </w:r>
          </w:p>
        </w:tc>
      </w:tr>
      <w:tr w14:paraId="3325B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tcBorders>
              <w:top w:val="single" w:color="000000" w:sz="4" w:space="0"/>
              <w:left w:val="single" w:color="000000" w:sz="4" w:space="0"/>
              <w:bottom w:val="single" w:color="000000" w:sz="4" w:space="0"/>
              <w:right w:val="single" w:color="000000" w:sz="4" w:space="0"/>
            </w:tcBorders>
            <w:shd w:val="clear"/>
            <w:vAlign w:val="center"/>
          </w:tcPr>
          <w:p w14:paraId="64B5D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存在问题</w:t>
            </w:r>
          </w:p>
        </w:tc>
        <w:tc>
          <w:tcPr>
            <w:tcW w:w="4670" w:type="pct"/>
            <w:gridSpan w:val="10"/>
            <w:tcBorders>
              <w:top w:val="single" w:color="000000" w:sz="4" w:space="0"/>
              <w:left w:val="single" w:color="000000" w:sz="4" w:space="0"/>
              <w:bottom w:val="single" w:color="000000" w:sz="4" w:space="0"/>
              <w:right w:val="single" w:color="000000" w:sz="4" w:space="0"/>
            </w:tcBorders>
            <w:shd w:val="clear"/>
            <w:vAlign w:val="center"/>
          </w:tcPr>
          <w:p w14:paraId="7D9761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72C92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329" w:type="pct"/>
            <w:tcBorders>
              <w:top w:val="single" w:color="000000" w:sz="4" w:space="0"/>
              <w:left w:val="single" w:color="000000" w:sz="4" w:space="0"/>
              <w:bottom w:val="single" w:color="000000" w:sz="4" w:space="0"/>
              <w:right w:val="single" w:color="000000" w:sz="4" w:space="0"/>
            </w:tcBorders>
            <w:shd w:val="clear"/>
            <w:vAlign w:val="center"/>
          </w:tcPr>
          <w:p w14:paraId="5E286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改进措施</w:t>
            </w:r>
          </w:p>
        </w:tc>
        <w:tc>
          <w:tcPr>
            <w:tcW w:w="4670" w:type="pct"/>
            <w:gridSpan w:val="10"/>
            <w:tcBorders>
              <w:top w:val="single" w:color="000000" w:sz="4" w:space="0"/>
              <w:left w:val="single" w:color="000000" w:sz="4" w:space="0"/>
              <w:bottom w:val="single" w:color="000000" w:sz="4" w:space="0"/>
              <w:right w:val="single" w:color="000000" w:sz="4" w:space="0"/>
            </w:tcBorders>
            <w:shd w:val="clear"/>
            <w:vAlign w:val="center"/>
          </w:tcPr>
          <w:p w14:paraId="52BDE0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无</w:t>
            </w:r>
          </w:p>
        </w:tc>
      </w:tr>
      <w:tr w14:paraId="53239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2490" w:type="pct"/>
            <w:gridSpan w:val="5"/>
            <w:tcBorders>
              <w:top w:val="single" w:color="000000" w:sz="4" w:space="0"/>
              <w:left w:val="single" w:color="000000" w:sz="4" w:space="0"/>
              <w:bottom w:val="single" w:color="000000" w:sz="4" w:space="0"/>
              <w:right w:val="single" w:color="000000" w:sz="4" w:space="0"/>
            </w:tcBorders>
            <w:shd w:val="clear"/>
            <w:vAlign w:val="center"/>
          </w:tcPr>
          <w:p w14:paraId="7412FF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项目负责人：张颖</w:t>
            </w:r>
          </w:p>
        </w:tc>
        <w:tc>
          <w:tcPr>
            <w:tcW w:w="2509" w:type="pct"/>
            <w:gridSpan w:val="6"/>
            <w:tcBorders>
              <w:top w:val="single" w:color="000000" w:sz="4" w:space="0"/>
              <w:left w:val="single" w:color="000000" w:sz="4" w:space="0"/>
              <w:bottom w:val="single" w:color="000000" w:sz="4" w:space="0"/>
              <w:right w:val="single" w:color="000000" w:sz="4" w:space="0"/>
            </w:tcBorders>
            <w:shd w:val="clear"/>
            <w:vAlign w:val="center"/>
          </w:tcPr>
          <w:p w14:paraId="7E4335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bdr w:val="none" w:color="auto" w:sz="0" w:space="0"/>
                <w:lang w:val="en-US" w:eastAsia="zh-CN" w:bidi="ar"/>
              </w:rPr>
              <w:t>财务负责人：冯亮</w:t>
            </w:r>
          </w:p>
        </w:tc>
      </w:tr>
    </w:tbl>
    <w:p w14:paraId="63A6DEDE">
      <w:pPr>
        <w:spacing w:line="240" w:lineRule="auto"/>
        <w:jc w:val="left"/>
        <w:outlineLvl w:val="0"/>
        <w:rPr>
          <w:rFonts w:hint="eastAsia" w:ascii="黑体" w:hAnsi="黑体" w:eastAsia="黑体" w:cs="黑体"/>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80"/>
        <w:gridCol w:w="1292"/>
        <w:gridCol w:w="1018"/>
        <w:gridCol w:w="1894"/>
        <w:gridCol w:w="1304"/>
        <w:gridCol w:w="1290"/>
        <w:gridCol w:w="899"/>
        <w:gridCol w:w="1899"/>
        <w:gridCol w:w="709"/>
        <w:gridCol w:w="729"/>
        <w:gridCol w:w="2160"/>
      </w:tblGrid>
      <w:tr w14:paraId="7162B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5"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595253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部门预算项目支出绩效自评表（2023年度）</w:t>
            </w:r>
          </w:p>
        </w:tc>
      </w:tr>
      <w:tr w14:paraId="7D941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802" w:type="pct"/>
            <w:gridSpan w:val="2"/>
            <w:tcBorders>
              <w:top w:val="single" w:color="000000" w:sz="4" w:space="0"/>
              <w:left w:val="single" w:color="000000" w:sz="4" w:space="0"/>
              <w:bottom w:val="single" w:color="000000" w:sz="4" w:space="0"/>
              <w:right w:val="single" w:color="000000" w:sz="4" w:space="0"/>
            </w:tcBorders>
            <w:shd w:val="clear"/>
            <w:vAlign w:val="center"/>
          </w:tcPr>
          <w:p w14:paraId="70E453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项目名称</w:t>
            </w:r>
          </w:p>
        </w:tc>
        <w:tc>
          <w:tcPr>
            <w:tcW w:w="4197" w:type="pct"/>
            <w:gridSpan w:val="9"/>
            <w:tcBorders>
              <w:top w:val="single" w:color="000000" w:sz="4" w:space="0"/>
              <w:left w:val="single" w:color="000000" w:sz="4" w:space="0"/>
              <w:bottom w:val="single" w:color="000000" w:sz="4" w:space="0"/>
              <w:right w:val="single" w:color="000000" w:sz="4" w:space="0"/>
            </w:tcBorders>
            <w:shd w:val="clear"/>
            <w:vAlign w:val="center"/>
          </w:tcPr>
          <w:p w14:paraId="64AFF5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检察业务经费</w:t>
            </w:r>
          </w:p>
        </w:tc>
      </w:tr>
      <w:tr w14:paraId="11A0B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802" w:type="pct"/>
            <w:gridSpan w:val="2"/>
            <w:tcBorders>
              <w:top w:val="single" w:color="000000" w:sz="4" w:space="0"/>
              <w:left w:val="single" w:color="000000" w:sz="4" w:space="0"/>
              <w:bottom w:val="single" w:color="000000" w:sz="4" w:space="0"/>
              <w:right w:val="single" w:color="000000" w:sz="4" w:space="0"/>
            </w:tcBorders>
            <w:shd w:val="clear"/>
            <w:vAlign w:val="center"/>
          </w:tcPr>
          <w:p w14:paraId="2C940A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w:t>
            </w:r>
          </w:p>
        </w:tc>
        <w:tc>
          <w:tcPr>
            <w:tcW w:w="2259" w:type="pct"/>
            <w:gridSpan w:val="5"/>
            <w:tcBorders>
              <w:top w:val="single" w:color="000000" w:sz="4" w:space="0"/>
              <w:left w:val="single" w:color="000000" w:sz="4" w:space="0"/>
              <w:bottom w:val="single" w:color="000000" w:sz="4" w:space="0"/>
              <w:right w:val="single" w:color="000000" w:sz="4" w:space="0"/>
            </w:tcBorders>
            <w:shd w:val="clear"/>
            <w:vAlign w:val="center"/>
          </w:tcPr>
          <w:p w14:paraId="0500A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广元市昭化区人民检察院部门</w:t>
            </w:r>
          </w:p>
        </w:tc>
        <w:tc>
          <w:tcPr>
            <w:tcW w:w="669" w:type="pct"/>
            <w:tcBorders>
              <w:top w:val="nil"/>
              <w:left w:val="nil"/>
              <w:bottom w:val="nil"/>
              <w:right w:val="nil"/>
            </w:tcBorders>
            <w:shd w:val="clear"/>
            <w:vAlign w:val="center"/>
          </w:tcPr>
          <w:p w14:paraId="3189B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实施单位 （盖章）</w:t>
            </w:r>
          </w:p>
        </w:tc>
        <w:tc>
          <w:tcPr>
            <w:tcW w:w="1268" w:type="pct"/>
            <w:gridSpan w:val="3"/>
            <w:tcBorders>
              <w:top w:val="single" w:color="000000" w:sz="4" w:space="0"/>
              <w:left w:val="single" w:color="000000" w:sz="4" w:space="0"/>
              <w:bottom w:val="single" w:color="000000" w:sz="4" w:space="0"/>
              <w:right w:val="single" w:color="000000" w:sz="4" w:space="0"/>
            </w:tcBorders>
            <w:shd w:val="clear"/>
            <w:vAlign w:val="center"/>
          </w:tcPr>
          <w:p w14:paraId="46023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广元市昭化区人民检察院</w:t>
            </w:r>
          </w:p>
        </w:tc>
      </w:tr>
      <w:tr w14:paraId="703FC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46" w:type="pct"/>
            <w:vMerge w:val="restart"/>
            <w:tcBorders>
              <w:top w:val="single" w:color="000000" w:sz="4" w:space="0"/>
              <w:left w:val="single" w:color="000000" w:sz="4" w:space="0"/>
              <w:bottom w:val="single" w:color="000000" w:sz="4" w:space="0"/>
              <w:right w:val="single" w:color="000000" w:sz="4" w:space="0"/>
            </w:tcBorders>
            <w:shd w:val="clear"/>
            <w:vAlign w:val="center"/>
          </w:tcPr>
          <w:p w14:paraId="3FFE3D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项目基本情况</w:t>
            </w:r>
          </w:p>
        </w:tc>
        <w:tc>
          <w:tcPr>
            <w:tcW w:w="45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D359A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2259" w:type="pct"/>
            <w:gridSpan w:val="5"/>
            <w:tcBorders>
              <w:top w:val="single" w:color="000000" w:sz="4" w:space="0"/>
              <w:left w:val="single" w:color="000000" w:sz="4" w:space="0"/>
              <w:bottom w:val="single" w:color="000000" w:sz="4" w:space="0"/>
              <w:right w:val="single" w:color="000000" w:sz="4" w:space="0"/>
            </w:tcBorders>
            <w:shd w:val="clear"/>
            <w:vAlign w:val="center"/>
          </w:tcPr>
          <w:p w14:paraId="7C97E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项目年度目标</w:t>
            </w:r>
          </w:p>
        </w:tc>
        <w:tc>
          <w:tcPr>
            <w:tcW w:w="1938" w:type="pct"/>
            <w:gridSpan w:val="4"/>
            <w:tcBorders>
              <w:top w:val="single" w:color="000000" w:sz="4" w:space="0"/>
              <w:left w:val="single" w:color="000000" w:sz="4" w:space="0"/>
              <w:bottom w:val="single" w:color="000000" w:sz="4" w:space="0"/>
              <w:right w:val="single" w:color="000000" w:sz="4" w:space="0"/>
            </w:tcBorders>
            <w:shd w:val="clear"/>
            <w:vAlign w:val="center"/>
          </w:tcPr>
          <w:p w14:paraId="6E748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年度目标完成情况</w:t>
            </w:r>
          </w:p>
        </w:tc>
      </w:tr>
      <w:tr w14:paraId="05A7C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8C2C4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B8B85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259" w:type="pct"/>
            <w:gridSpan w:val="5"/>
            <w:tcBorders>
              <w:top w:val="single" w:color="000000" w:sz="4" w:space="0"/>
              <w:left w:val="single" w:color="000000" w:sz="4" w:space="0"/>
              <w:bottom w:val="single" w:color="000000" w:sz="4" w:space="0"/>
              <w:right w:val="single" w:color="000000" w:sz="4" w:space="0"/>
            </w:tcBorders>
            <w:shd w:val="clear"/>
            <w:vAlign w:val="center"/>
          </w:tcPr>
          <w:p w14:paraId="312D0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用于办理案件相关支出，保障有效履行检察职能，宣传法治教育，严厉打击违法犯罪行为，营造社会主义法治环境。</w:t>
            </w:r>
          </w:p>
        </w:tc>
        <w:tc>
          <w:tcPr>
            <w:tcW w:w="1938" w:type="pct"/>
            <w:gridSpan w:val="4"/>
            <w:tcBorders>
              <w:top w:val="single" w:color="000000" w:sz="4" w:space="0"/>
              <w:left w:val="single" w:color="000000" w:sz="4" w:space="0"/>
              <w:bottom w:val="single" w:color="000000" w:sz="4" w:space="0"/>
              <w:right w:val="single" w:color="000000" w:sz="4" w:space="0"/>
            </w:tcBorders>
            <w:shd w:val="clear"/>
            <w:vAlign w:val="center"/>
          </w:tcPr>
          <w:p w14:paraId="2367AF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受理公安机关提请批准逮捕案件27件68人，审查后批准逮捕22件40人；受理移送审查起诉案件136件234人，审查后提起公诉80件144人。牢固树立总体国家安全观，起诉涉政类犯罪案件2件4人；依法打击盗窃、诈骗等多发性侵财犯罪，起诉11件16人；严厉打击电信网络犯罪，起诉29件81人；依法打击涉枪爆犯罪，起诉4件4人；严厉打击毒品犯罪，批准逮捕4件4人。受理移送审查起诉职务犯罪案件8件9人，提起公诉7件8人，区法院作出有罪判决5件6人。严厉打击各类破坏生态资源违法犯罪，起诉5件6人。</w:t>
            </w:r>
          </w:p>
        </w:tc>
      </w:tr>
      <w:tr w14:paraId="3B28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2482E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09CB46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4197" w:type="pct"/>
            <w:gridSpan w:val="9"/>
            <w:tcBorders>
              <w:top w:val="single" w:color="000000" w:sz="4" w:space="0"/>
              <w:left w:val="single" w:color="000000" w:sz="4" w:space="0"/>
              <w:bottom w:val="single" w:color="000000" w:sz="4" w:space="0"/>
              <w:right w:val="single" w:color="000000" w:sz="4" w:space="0"/>
            </w:tcBorders>
            <w:shd w:val="clear"/>
            <w:vAlign w:val="center"/>
          </w:tcPr>
          <w:p w14:paraId="425926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通过保障办案业务费用确保办案业务工作的顺利开展，提高案件办结率。</w:t>
            </w:r>
          </w:p>
        </w:tc>
      </w:tr>
      <w:tr w14:paraId="2A6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6"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522C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预算执行情况（10分）</w:t>
            </w: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7CC25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年度预算数（万元）</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6C43E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年初预算</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675C6A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调整后预算数</w:t>
            </w:r>
          </w:p>
        </w:tc>
        <w:tc>
          <w:tcPr>
            <w:tcW w:w="1231" w:type="pct"/>
            <w:gridSpan w:val="3"/>
            <w:tcBorders>
              <w:top w:val="single" w:color="000000" w:sz="4" w:space="0"/>
              <w:left w:val="single" w:color="000000" w:sz="4" w:space="0"/>
              <w:bottom w:val="single" w:color="000000" w:sz="4" w:space="0"/>
              <w:right w:val="single" w:color="000000" w:sz="4" w:space="0"/>
            </w:tcBorders>
            <w:shd w:val="clear"/>
            <w:vAlign w:val="center"/>
          </w:tcPr>
          <w:p w14:paraId="32C03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预算执行数</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47A1CA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预算执行率</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071D0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权重</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6035E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315AE6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原因</w:t>
            </w:r>
          </w:p>
        </w:tc>
      </w:tr>
      <w:tr w14:paraId="387C8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61E6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3DF424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5AD68C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47.15</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5902D7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88.26</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6205C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3ABC0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6A469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44F37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75.92%</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37F69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6C58CB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760" w:type="pct"/>
            <w:vMerge w:val="restart"/>
            <w:tcBorders>
              <w:top w:val="single" w:color="000000" w:sz="4" w:space="0"/>
              <w:left w:val="single" w:color="000000" w:sz="4" w:space="0"/>
              <w:bottom w:val="single" w:color="000000" w:sz="4" w:space="0"/>
              <w:right w:val="single" w:color="000000" w:sz="4" w:space="0"/>
            </w:tcBorders>
            <w:shd w:val="clear"/>
            <w:vAlign w:val="center"/>
          </w:tcPr>
          <w:p w14:paraId="61990F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553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43B3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3226F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其中：财政资金</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1D5B9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47.15</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54D59F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88.26</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17B34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62ADB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42749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2E442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75.92%</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1DF23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5A586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12807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4C3E8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8731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41B40A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财政专户管理资金</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5A409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01F12B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231" w:type="pct"/>
            <w:gridSpan w:val="3"/>
            <w:tcBorders>
              <w:top w:val="single" w:color="000000" w:sz="4" w:space="0"/>
              <w:left w:val="single" w:color="000000" w:sz="4" w:space="0"/>
              <w:bottom w:val="single" w:color="000000" w:sz="4" w:space="0"/>
              <w:right w:val="single" w:color="000000" w:sz="4" w:space="0"/>
            </w:tcBorders>
            <w:shd w:val="clear"/>
            <w:vAlign w:val="center"/>
          </w:tcPr>
          <w:p w14:paraId="74F412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560866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4804DA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6E294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5CB6B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D42E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9393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40368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单位资金</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C844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08E001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231" w:type="pct"/>
            <w:gridSpan w:val="3"/>
            <w:tcBorders>
              <w:top w:val="single" w:color="000000" w:sz="4" w:space="0"/>
              <w:left w:val="single" w:color="000000" w:sz="4" w:space="0"/>
              <w:bottom w:val="single" w:color="000000" w:sz="4" w:space="0"/>
              <w:right w:val="single" w:color="000000" w:sz="4" w:space="0"/>
            </w:tcBorders>
            <w:shd w:val="clear"/>
            <w:vAlign w:val="center"/>
          </w:tcPr>
          <w:p w14:paraId="11772A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662864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152118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393E3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832CA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F71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96BB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09773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63A924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53557E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8"/>
                <w:szCs w:val="18"/>
                <w:u w:val="none"/>
              </w:rPr>
            </w:pPr>
          </w:p>
        </w:tc>
        <w:tc>
          <w:tcPr>
            <w:tcW w:w="1231" w:type="pct"/>
            <w:gridSpan w:val="3"/>
            <w:tcBorders>
              <w:top w:val="single" w:color="000000" w:sz="4" w:space="0"/>
              <w:left w:val="single" w:color="000000" w:sz="4" w:space="0"/>
              <w:bottom w:val="single" w:color="000000" w:sz="4" w:space="0"/>
              <w:right w:val="single" w:color="000000" w:sz="4" w:space="0"/>
            </w:tcBorders>
            <w:shd w:val="clear"/>
            <w:vAlign w:val="center"/>
          </w:tcPr>
          <w:p w14:paraId="7D1DB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8"/>
                <w:szCs w:val="18"/>
                <w:u w:val="none"/>
              </w:rPr>
            </w:pP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263B13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6B2F1D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41DDE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EC364B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3833C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EC5E6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绩效指标（90分）</w:t>
            </w: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2B548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3F5A1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381EDD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6BF90F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指标性质</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490A0A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288F33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度量单位</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58533C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完成值</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2C640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权重</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3AA0D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501B8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未完成原因分析</w:t>
            </w:r>
          </w:p>
        </w:tc>
      </w:tr>
      <w:tr w14:paraId="00078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66D0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AB76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5828E2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6751B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2023年当年办理案件数量</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4CDF6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7ED749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5A0938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件</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39614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5F6B3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0B08A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6FCDC0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8"/>
                <w:szCs w:val="18"/>
                <w:u w:val="none"/>
              </w:rPr>
            </w:pPr>
          </w:p>
        </w:tc>
      </w:tr>
      <w:tr w14:paraId="007A5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86A6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43F4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F1C0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25209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法治宣传次数</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2F650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50A10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075CD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次</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36CDFB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49447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04CA7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5A209BB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34844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C39B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EEC91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6C02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6EF64C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人均办理案件数</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557D4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3AB9B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6757A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件</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11487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066CC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4DECA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28FB2A2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7E6D6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A56D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6D82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13288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1B9C4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案件办结率</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12EBD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08CFA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2CC75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3167D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073F5B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7995C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547718F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4363F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A7EB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5DE0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37D174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7609A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错案率</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4DB4E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2C421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4E80B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56D12E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62499F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113B59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65DC4A4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5F21B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82B1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restart"/>
            <w:tcBorders>
              <w:top w:val="single" w:color="000000" w:sz="4" w:space="0"/>
              <w:left w:val="single" w:color="000000" w:sz="4" w:space="0"/>
              <w:bottom w:val="single" w:color="000000" w:sz="4" w:space="0"/>
              <w:right w:val="single" w:color="000000" w:sz="4" w:space="0"/>
            </w:tcBorders>
            <w:shd w:val="clear"/>
            <w:vAlign w:val="center"/>
          </w:tcPr>
          <w:p w14:paraId="37DD1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2ED88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72CAC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撰写调研信息篇数</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6EA30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2BF3E1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5C4D3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篇</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237F1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782A6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496DD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635CC70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36E96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27A8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2286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A0AA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可持续影响指标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3EEE3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对检察业务办案经费保障力度不断加强</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35C05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00977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6E317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优良中差</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1CF80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5FD88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47ED0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40E98AE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3299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6F0D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30CD8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2C6FB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服务对象满意度指标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5A489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办案人员满意度</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1C783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5E621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486B20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54357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576DB3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4C297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1F8F920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641B7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D740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vAlign w:val="center"/>
          </w:tcPr>
          <w:p w14:paraId="51C02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03AD5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668" w:type="pct"/>
            <w:tcBorders>
              <w:top w:val="single" w:color="000000" w:sz="4" w:space="0"/>
              <w:left w:val="single" w:color="000000" w:sz="4" w:space="0"/>
              <w:bottom w:val="single" w:color="000000" w:sz="4" w:space="0"/>
              <w:right w:val="single" w:color="000000" w:sz="4" w:space="0"/>
            </w:tcBorders>
            <w:shd w:val="clear"/>
            <w:vAlign w:val="center"/>
          </w:tcPr>
          <w:p w14:paraId="59224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检察院经费</w:t>
            </w:r>
          </w:p>
        </w:tc>
        <w:tc>
          <w:tcPr>
            <w:tcW w:w="458" w:type="pct"/>
            <w:tcBorders>
              <w:top w:val="single" w:color="000000" w:sz="4" w:space="0"/>
              <w:left w:val="single" w:color="000000" w:sz="4" w:space="0"/>
              <w:bottom w:val="single" w:color="000000" w:sz="4" w:space="0"/>
              <w:right w:val="single" w:color="000000" w:sz="4" w:space="0"/>
            </w:tcBorders>
            <w:shd w:val="clear"/>
            <w:vAlign w:val="center"/>
          </w:tcPr>
          <w:p w14:paraId="4C521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55" w:type="pct"/>
            <w:tcBorders>
              <w:top w:val="single" w:color="000000" w:sz="4" w:space="0"/>
              <w:left w:val="single" w:color="000000" w:sz="4" w:space="0"/>
              <w:bottom w:val="single" w:color="000000" w:sz="4" w:space="0"/>
              <w:right w:val="single" w:color="000000" w:sz="4" w:space="0"/>
            </w:tcBorders>
            <w:shd w:val="clear"/>
            <w:vAlign w:val="center"/>
          </w:tcPr>
          <w:p w14:paraId="2AB76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88.26</w:t>
            </w:r>
          </w:p>
        </w:tc>
        <w:tc>
          <w:tcPr>
            <w:tcW w:w="317" w:type="pct"/>
            <w:tcBorders>
              <w:top w:val="single" w:color="000000" w:sz="4" w:space="0"/>
              <w:left w:val="single" w:color="000000" w:sz="4" w:space="0"/>
              <w:bottom w:val="single" w:color="000000" w:sz="4" w:space="0"/>
              <w:right w:val="single" w:color="000000" w:sz="4" w:space="0"/>
            </w:tcBorders>
            <w:shd w:val="clear"/>
            <w:vAlign w:val="center"/>
          </w:tcPr>
          <w:p w14:paraId="6F6A7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669" w:type="pct"/>
            <w:tcBorders>
              <w:top w:val="single" w:color="000000" w:sz="4" w:space="0"/>
              <w:left w:val="single" w:color="000000" w:sz="4" w:space="0"/>
              <w:bottom w:val="single" w:color="000000" w:sz="4" w:space="0"/>
              <w:right w:val="single" w:color="000000" w:sz="4" w:space="0"/>
            </w:tcBorders>
            <w:shd w:val="clear"/>
            <w:vAlign w:val="center"/>
          </w:tcPr>
          <w:p w14:paraId="393A9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67.01</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68765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28587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01DEBDB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131FC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731" w:type="pct"/>
            <w:gridSpan w:val="8"/>
            <w:tcBorders>
              <w:top w:val="single" w:color="000000" w:sz="4" w:space="0"/>
              <w:left w:val="single" w:color="000000" w:sz="4" w:space="0"/>
              <w:bottom w:val="single" w:color="000000" w:sz="4" w:space="0"/>
              <w:right w:val="single" w:color="000000" w:sz="4" w:space="0"/>
            </w:tcBorders>
            <w:shd w:val="clear"/>
            <w:vAlign w:val="center"/>
          </w:tcPr>
          <w:p w14:paraId="1377B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合计</w:t>
            </w:r>
          </w:p>
        </w:tc>
        <w:tc>
          <w:tcPr>
            <w:tcW w:w="250" w:type="pct"/>
            <w:tcBorders>
              <w:top w:val="single" w:color="000000" w:sz="4" w:space="0"/>
              <w:left w:val="single" w:color="000000" w:sz="4" w:space="0"/>
              <w:bottom w:val="single" w:color="000000" w:sz="4" w:space="0"/>
              <w:right w:val="single" w:color="000000" w:sz="4" w:space="0"/>
            </w:tcBorders>
            <w:shd w:val="clear"/>
            <w:vAlign w:val="center"/>
          </w:tcPr>
          <w:p w14:paraId="296AF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2DB73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97.5</w:t>
            </w:r>
          </w:p>
        </w:tc>
        <w:tc>
          <w:tcPr>
            <w:tcW w:w="760" w:type="pct"/>
            <w:tcBorders>
              <w:top w:val="single" w:color="000000" w:sz="4" w:space="0"/>
              <w:left w:val="single" w:color="000000" w:sz="4" w:space="0"/>
              <w:bottom w:val="single" w:color="000000" w:sz="4" w:space="0"/>
              <w:right w:val="single" w:color="000000" w:sz="4" w:space="0"/>
            </w:tcBorders>
            <w:shd w:val="clear"/>
            <w:vAlign w:val="center"/>
          </w:tcPr>
          <w:p w14:paraId="1468766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8C66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46" w:type="pct"/>
            <w:tcBorders>
              <w:top w:val="single" w:color="000000" w:sz="4" w:space="0"/>
              <w:left w:val="single" w:color="000000" w:sz="4" w:space="0"/>
              <w:bottom w:val="single" w:color="000000" w:sz="4" w:space="0"/>
              <w:right w:val="single" w:color="000000" w:sz="4" w:space="0"/>
            </w:tcBorders>
            <w:shd w:val="clear"/>
            <w:vAlign w:val="center"/>
          </w:tcPr>
          <w:p w14:paraId="4DFBD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vAlign w:val="center"/>
          </w:tcPr>
          <w:p w14:paraId="4C52D7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自评得分97.5分。项目立项合理，资金使用合理合规，保障了办案业务工作的正常开展，提高了群众满意度。</w:t>
            </w:r>
          </w:p>
        </w:tc>
      </w:tr>
      <w:tr w14:paraId="2D7D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tcBorders>
              <w:top w:val="single" w:color="000000" w:sz="4" w:space="0"/>
              <w:left w:val="single" w:color="000000" w:sz="4" w:space="0"/>
              <w:bottom w:val="single" w:color="000000" w:sz="4" w:space="0"/>
              <w:right w:val="single" w:color="000000" w:sz="4" w:space="0"/>
            </w:tcBorders>
            <w:shd w:val="clear"/>
            <w:vAlign w:val="center"/>
          </w:tcPr>
          <w:p w14:paraId="79C56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vAlign w:val="center"/>
          </w:tcPr>
          <w:p w14:paraId="7EA484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w:t>
            </w:r>
          </w:p>
        </w:tc>
      </w:tr>
      <w:tr w14:paraId="0246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46" w:type="pct"/>
            <w:tcBorders>
              <w:top w:val="single" w:color="000000" w:sz="4" w:space="0"/>
              <w:left w:val="single" w:color="000000" w:sz="4" w:space="0"/>
              <w:bottom w:val="single" w:color="000000" w:sz="4" w:space="0"/>
              <w:right w:val="single" w:color="000000" w:sz="4" w:space="0"/>
            </w:tcBorders>
            <w:shd w:val="clear"/>
            <w:vAlign w:val="center"/>
          </w:tcPr>
          <w:p w14:paraId="4A882E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vAlign w:val="center"/>
          </w:tcPr>
          <w:p w14:paraId="07CE3B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w:t>
            </w:r>
          </w:p>
        </w:tc>
      </w:tr>
      <w:tr w14:paraId="07E49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89" w:type="pct"/>
            <w:gridSpan w:val="5"/>
            <w:tcBorders>
              <w:top w:val="single" w:color="000000" w:sz="4" w:space="0"/>
              <w:left w:val="single" w:color="000000" w:sz="4" w:space="0"/>
              <w:bottom w:val="single" w:color="000000" w:sz="4" w:space="0"/>
              <w:right w:val="single" w:color="000000" w:sz="4" w:space="0"/>
            </w:tcBorders>
            <w:shd w:val="clear"/>
            <w:vAlign w:val="center"/>
          </w:tcPr>
          <w:p w14:paraId="0456C1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项目负责人：张颖</w:t>
            </w:r>
          </w:p>
        </w:tc>
        <w:tc>
          <w:tcPr>
            <w:tcW w:w="2710" w:type="pct"/>
            <w:gridSpan w:val="6"/>
            <w:tcBorders>
              <w:top w:val="single" w:color="000000" w:sz="4" w:space="0"/>
              <w:left w:val="single" w:color="000000" w:sz="4" w:space="0"/>
              <w:bottom w:val="single" w:color="000000" w:sz="4" w:space="0"/>
              <w:right w:val="single" w:color="000000" w:sz="4" w:space="0"/>
            </w:tcBorders>
            <w:shd w:val="clear"/>
            <w:vAlign w:val="center"/>
          </w:tcPr>
          <w:p w14:paraId="4EDBE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财务负责人：冯亮</w:t>
            </w:r>
          </w:p>
        </w:tc>
      </w:tr>
    </w:tbl>
    <w:p w14:paraId="6D01EE5F">
      <w:pPr>
        <w:spacing w:line="240" w:lineRule="auto"/>
        <w:jc w:val="left"/>
        <w:outlineLvl w:val="0"/>
        <w:rPr>
          <w:rFonts w:hint="eastAsia" w:ascii="黑体" w:hAnsi="黑体" w:eastAsia="黑体" w:cs="黑体"/>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21"/>
        <w:gridCol w:w="1519"/>
        <w:gridCol w:w="1709"/>
        <w:gridCol w:w="1967"/>
        <w:gridCol w:w="970"/>
        <w:gridCol w:w="884"/>
        <w:gridCol w:w="893"/>
        <w:gridCol w:w="1052"/>
        <w:gridCol w:w="680"/>
        <w:gridCol w:w="884"/>
        <w:gridCol w:w="2595"/>
      </w:tblGrid>
      <w:tr w14:paraId="27AF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17FBB6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30"/>
                <w:szCs w:val="30"/>
                <w:u w:val="none"/>
                <w:bdr w:val="none" w:color="auto" w:sz="0" w:space="0"/>
                <w:lang w:val="en-US" w:eastAsia="zh-CN" w:bidi="ar"/>
              </w:rPr>
              <w:t>部门预算项目支出绩效自评表（2023年度）</w:t>
            </w:r>
          </w:p>
        </w:tc>
      </w:tr>
      <w:tr w14:paraId="0197D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6" w:type="pct"/>
            <w:gridSpan w:val="2"/>
            <w:tcBorders>
              <w:top w:val="single" w:color="000000" w:sz="4" w:space="0"/>
              <w:left w:val="single" w:color="000000" w:sz="4" w:space="0"/>
              <w:bottom w:val="single" w:color="000000" w:sz="4" w:space="0"/>
              <w:right w:val="single" w:color="000000" w:sz="4" w:space="0"/>
            </w:tcBorders>
            <w:shd w:val="clear"/>
            <w:vAlign w:val="center"/>
          </w:tcPr>
          <w:p w14:paraId="1EBD7A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项目名称</w:t>
            </w:r>
          </w:p>
        </w:tc>
        <w:tc>
          <w:tcPr>
            <w:tcW w:w="4103" w:type="pct"/>
            <w:gridSpan w:val="9"/>
            <w:tcBorders>
              <w:top w:val="single" w:color="000000" w:sz="4" w:space="0"/>
              <w:left w:val="single" w:color="000000" w:sz="4" w:space="0"/>
              <w:bottom w:val="single" w:color="000000" w:sz="4" w:space="0"/>
              <w:right w:val="single" w:color="000000" w:sz="4" w:space="0"/>
            </w:tcBorders>
            <w:shd w:val="clear"/>
            <w:vAlign w:val="center"/>
          </w:tcPr>
          <w:p w14:paraId="1154D6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档案整理及数字化增量经费</w:t>
            </w:r>
          </w:p>
        </w:tc>
      </w:tr>
      <w:tr w14:paraId="0A78C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896" w:type="pct"/>
            <w:gridSpan w:val="2"/>
            <w:tcBorders>
              <w:top w:val="single" w:color="000000" w:sz="4" w:space="0"/>
              <w:left w:val="single" w:color="000000" w:sz="4" w:space="0"/>
              <w:bottom w:val="single" w:color="000000" w:sz="4" w:space="0"/>
              <w:right w:val="single" w:color="000000" w:sz="4" w:space="0"/>
            </w:tcBorders>
            <w:shd w:val="clear"/>
            <w:vAlign w:val="center"/>
          </w:tcPr>
          <w:p w14:paraId="5E0251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主管部门</w:t>
            </w:r>
          </w:p>
        </w:tc>
        <w:tc>
          <w:tcPr>
            <w:tcW w:w="2266" w:type="pct"/>
            <w:gridSpan w:val="5"/>
            <w:tcBorders>
              <w:top w:val="single" w:color="000000" w:sz="4" w:space="0"/>
              <w:left w:val="single" w:color="000000" w:sz="4" w:space="0"/>
              <w:bottom w:val="single" w:color="000000" w:sz="4" w:space="0"/>
              <w:right w:val="single" w:color="000000" w:sz="4" w:space="0"/>
            </w:tcBorders>
            <w:shd w:val="clear"/>
            <w:vAlign w:val="center"/>
          </w:tcPr>
          <w:p w14:paraId="329E7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广元市昭化区人民检察院部门</w:t>
            </w:r>
          </w:p>
        </w:tc>
        <w:tc>
          <w:tcPr>
            <w:tcW w:w="368" w:type="pct"/>
            <w:tcBorders>
              <w:top w:val="nil"/>
              <w:left w:val="nil"/>
              <w:bottom w:val="nil"/>
              <w:right w:val="nil"/>
            </w:tcBorders>
            <w:shd w:val="clear"/>
            <w:vAlign w:val="center"/>
          </w:tcPr>
          <w:p w14:paraId="715E64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实施单位 （盖章）</w:t>
            </w:r>
          </w:p>
        </w:tc>
        <w:tc>
          <w:tcPr>
            <w:tcW w:w="1468" w:type="pct"/>
            <w:gridSpan w:val="3"/>
            <w:tcBorders>
              <w:top w:val="single" w:color="000000" w:sz="4" w:space="0"/>
              <w:left w:val="single" w:color="000000" w:sz="4" w:space="0"/>
              <w:bottom w:val="single" w:color="000000" w:sz="4" w:space="0"/>
              <w:right w:val="single" w:color="000000" w:sz="4" w:space="0"/>
            </w:tcBorders>
            <w:shd w:val="clear"/>
            <w:vAlign w:val="center"/>
          </w:tcPr>
          <w:p w14:paraId="520936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w:t>
            </w:r>
          </w:p>
        </w:tc>
      </w:tr>
      <w:tr w14:paraId="5EF45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restart"/>
            <w:tcBorders>
              <w:top w:val="single" w:color="000000" w:sz="4" w:space="0"/>
              <w:left w:val="single" w:color="000000" w:sz="4" w:space="0"/>
              <w:bottom w:val="single" w:color="000000" w:sz="4" w:space="0"/>
              <w:right w:val="single" w:color="000000" w:sz="4" w:space="0"/>
            </w:tcBorders>
            <w:shd w:val="clear"/>
            <w:vAlign w:val="center"/>
          </w:tcPr>
          <w:p w14:paraId="239D51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项目基本情况</w:t>
            </w:r>
          </w:p>
        </w:tc>
        <w:tc>
          <w:tcPr>
            <w:tcW w:w="5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15FB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1.项目年度目标完成情况</w:t>
            </w:r>
          </w:p>
        </w:tc>
        <w:tc>
          <w:tcPr>
            <w:tcW w:w="2266" w:type="pct"/>
            <w:gridSpan w:val="5"/>
            <w:tcBorders>
              <w:top w:val="single" w:color="000000" w:sz="4" w:space="0"/>
              <w:left w:val="single" w:color="000000" w:sz="4" w:space="0"/>
              <w:bottom w:val="single" w:color="000000" w:sz="4" w:space="0"/>
              <w:right w:val="single" w:color="000000" w:sz="4" w:space="0"/>
            </w:tcBorders>
            <w:shd w:val="clear"/>
            <w:vAlign w:val="center"/>
          </w:tcPr>
          <w:p w14:paraId="2554F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项目年度目标</w:t>
            </w:r>
          </w:p>
        </w:tc>
        <w:tc>
          <w:tcPr>
            <w:tcW w:w="1837" w:type="pct"/>
            <w:gridSpan w:val="4"/>
            <w:tcBorders>
              <w:top w:val="single" w:color="000000" w:sz="4" w:space="0"/>
              <w:left w:val="single" w:color="000000" w:sz="4" w:space="0"/>
              <w:bottom w:val="single" w:color="000000" w:sz="4" w:space="0"/>
              <w:right w:val="single" w:color="000000" w:sz="4" w:space="0"/>
            </w:tcBorders>
            <w:shd w:val="clear"/>
            <w:vAlign w:val="center"/>
          </w:tcPr>
          <w:p w14:paraId="46151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年度目标完成情况</w:t>
            </w:r>
          </w:p>
        </w:tc>
      </w:tr>
      <w:tr w14:paraId="7A31C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FE139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C15F9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2266" w:type="pct"/>
            <w:gridSpan w:val="5"/>
            <w:tcBorders>
              <w:top w:val="single" w:color="000000" w:sz="4" w:space="0"/>
              <w:left w:val="single" w:color="000000" w:sz="4" w:space="0"/>
              <w:bottom w:val="single" w:color="000000" w:sz="4" w:space="0"/>
              <w:right w:val="single" w:color="000000" w:sz="4" w:space="0"/>
            </w:tcBorders>
            <w:shd w:val="clear"/>
            <w:vAlign w:val="center"/>
          </w:tcPr>
          <w:p w14:paraId="1FCB8A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完善和健全档案目录数据库，使档案信息资源能准确，方便，快捷的提供利用，满足对档案利用要求。</w:t>
            </w:r>
          </w:p>
        </w:tc>
        <w:tc>
          <w:tcPr>
            <w:tcW w:w="1837" w:type="pct"/>
            <w:gridSpan w:val="4"/>
            <w:tcBorders>
              <w:top w:val="single" w:color="000000" w:sz="4" w:space="0"/>
              <w:left w:val="single" w:color="000000" w:sz="4" w:space="0"/>
              <w:bottom w:val="single" w:color="000000" w:sz="4" w:space="0"/>
              <w:right w:val="single" w:color="000000" w:sz="4" w:space="0"/>
            </w:tcBorders>
            <w:shd w:val="clear"/>
            <w:vAlign w:val="center"/>
          </w:tcPr>
          <w:p w14:paraId="71E2FF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档案整理数字化正在推进中</w:t>
            </w:r>
          </w:p>
        </w:tc>
      </w:tr>
      <w:tr w14:paraId="3196C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8C85F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65FB73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2.项目实施内容及过程概述</w:t>
            </w:r>
          </w:p>
        </w:tc>
        <w:tc>
          <w:tcPr>
            <w:tcW w:w="4103" w:type="pct"/>
            <w:gridSpan w:val="9"/>
            <w:tcBorders>
              <w:top w:val="single" w:color="000000" w:sz="4" w:space="0"/>
              <w:left w:val="single" w:color="000000" w:sz="4" w:space="0"/>
              <w:bottom w:val="single" w:color="000000" w:sz="4" w:space="0"/>
              <w:right w:val="single" w:color="000000" w:sz="4" w:space="0"/>
            </w:tcBorders>
            <w:shd w:val="clear"/>
            <w:vAlign w:val="center"/>
          </w:tcPr>
          <w:p w14:paraId="63C7D7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完善和健全档案目录数据库，使档案信息资源能准确，方便，快捷。</w:t>
            </w:r>
          </w:p>
        </w:tc>
      </w:tr>
      <w:tr w14:paraId="7292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E7E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预算执行情况（10分）</w:t>
            </w: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4E6D49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年度预算数（万元）</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16C57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年初预算</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4301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调整后预算数</w:t>
            </w:r>
          </w:p>
        </w:tc>
        <w:tc>
          <w:tcPr>
            <w:tcW w:w="967" w:type="pct"/>
            <w:gridSpan w:val="3"/>
            <w:tcBorders>
              <w:top w:val="single" w:color="000000" w:sz="4" w:space="0"/>
              <w:left w:val="single" w:color="000000" w:sz="4" w:space="0"/>
              <w:bottom w:val="single" w:color="000000" w:sz="4" w:space="0"/>
              <w:right w:val="single" w:color="000000" w:sz="4" w:space="0"/>
            </w:tcBorders>
            <w:shd w:val="clear"/>
            <w:vAlign w:val="center"/>
          </w:tcPr>
          <w:p w14:paraId="10166B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预算执行数</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B9DE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预算执行率</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0C544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59F9F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759E8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原因</w:t>
            </w:r>
          </w:p>
        </w:tc>
      </w:tr>
      <w:tr w14:paraId="4EFF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2E74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7AD5D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总额</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776B2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2.00</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1BFF3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B917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2F8E76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76E2D9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6409D6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25.98%</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26A7E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42472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w:t>
            </w:r>
          </w:p>
        </w:tc>
        <w:tc>
          <w:tcPr>
            <w:tcW w:w="914" w:type="pct"/>
            <w:vMerge w:val="restart"/>
            <w:tcBorders>
              <w:top w:val="single" w:color="000000" w:sz="4" w:space="0"/>
              <w:left w:val="single" w:color="000000" w:sz="4" w:space="0"/>
              <w:bottom w:val="single" w:color="000000" w:sz="4" w:space="0"/>
              <w:right w:val="single" w:color="000000" w:sz="4" w:space="0"/>
            </w:tcBorders>
            <w:shd w:val="clear"/>
            <w:vAlign w:val="center"/>
          </w:tcPr>
          <w:p w14:paraId="023345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6FB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CEDA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62C87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其中：财政资金</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5AC88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2.00</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5F777C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0F011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7F5AB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2C5023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0EBB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25.98%</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261DD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72E03D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1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0E6FA5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3FB26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8B63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6E98C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财政专户管理资金</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26E74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5C88EF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967" w:type="pct"/>
            <w:gridSpan w:val="3"/>
            <w:tcBorders>
              <w:top w:val="single" w:color="000000" w:sz="4" w:space="0"/>
              <w:left w:val="single" w:color="000000" w:sz="4" w:space="0"/>
              <w:bottom w:val="single" w:color="000000" w:sz="4" w:space="0"/>
              <w:right w:val="single" w:color="000000" w:sz="4" w:space="0"/>
            </w:tcBorders>
            <w:shd w:val="clear"/>
            <w:vAlign w:val="center"/>
          </w:tcPr>
          <w:p w14:paraId="27E0D1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6FFEF6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77601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6DC96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1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A6707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06D80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2615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4D628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单位资金</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022F5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3CBD2C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967" w:type="pct"/>
            <w:gridSpan w:val="3"/>
            <w:tcBorders>
              <w:top w:val="single" w:color="000000" w:sz="4" w:space="0"/>
              <w:left w:val="single" w:color="000000" w:sz="4" w:space="0"/>
              <w:bottom w:val="single" w:color="000000" w:sz="4" w:space="0"/>
              <w:right w:val="single" w:color="000000" w:sz="4" w:space="0"/>
            </w:tcBorders>
            <w:shd w:val="clear"/>
            <w:vAlign w:val="center"/>
          </w:tcPr>
          <w:p w14:paraId="20BAB8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A2F68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4FB3BF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49427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1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43E91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6E30A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1F8C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1A842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其他资金</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18EC54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84CB7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967" w:type="pct"/>
            <w:gridSpan w:val="3"/>
            <w:tcBorders>
              <w:top w:val="single" w:color="000000" w:sz="4" w:space="0"/>
              <w:left w:val="single" w:color="000000" w:sz="4" w:space="0"/>
              <w:bottom w:val="single" w:color="000000" w:sz="4" w:space="0"/>
              <w:right w:val="single" w:color="000000" w:sz="4" w:space="0"/>
            </w:tcBorders>
            <w:shd w:val="clear"/>
            <w:vAlign w:val="center"/>
          </w:tcPr>
          <w:p w14:paraId="7D2664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98D75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484C7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7747A2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1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1835B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6BECB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C5B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绩效指标（90分）</w:t>
            </w: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34242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一级指标</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07B85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二级指标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3612B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三级指标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08A2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指标性质</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2CC82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指标值</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03B3F8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度量单位</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7B68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完成值</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621AA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0A7E0D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631363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未完成原因分析</w:t>
            </w:r>
          </w:p>
        </w:tc>
      </w:tr>
      <w:tr w14:paraId="6AC1D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90FE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605EB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5881B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0CC3B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完成档案扫描</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F857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43A6D2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1589C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万页</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0880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12741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38485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233FD4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754CC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4257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1EEE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79F251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质量指标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5F6653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档案扫描合格率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C46B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6F511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4EE7B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6978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479BF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48C67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1DFEF31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1ADB3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8420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2AE6F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效益指标</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0E73F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可持续影响指标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260D8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提升档案查询便利度</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0816C4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定性</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030C7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良</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32F89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优良中差</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B243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良</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04D1BD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656157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1EF3DE0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013AC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E83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5EC3C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满意度指标</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37077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服务对象满意度指标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4D994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提高办案人员满意度</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26C4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2E660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95</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778AD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C084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95</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5E5DD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3242C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914" w:type="pct"/>
            <w:tcBorders>
              <w:top w:val="single" w:color="000000" w:sz="4" w:space="0"/>
              <w:left w:val="single" w:color="000000" w:sz="4" w:space="0"/>
              <w:bottom w:val="single" w:color="000000" w:sz="4" w:space="0"/>
              <w:right w:val="single" w:color="000000" w:sz="4" w:space="0"/>
            </w:tcBorders>
            <w:shd w:val="clear"/>
            <w:noWrap/>
            <w:vAlign w:val="center"/>
          </w:tcPr>
          <w:p w14:paraId="01B3386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1F090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4D5D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35" w:type="pct"/>
            <w:tcBorders>
              <w:top w:val="single" w:color="000000" w:sz="4" w:space="0"/>
              <w:left w:val="single" w:color="000000" w:sz="4" w:space="0"/>
              <w:bottom w:val="single" w:color="000000" w:sz="4" w:space="0"/>
              <w:right w:val="single" w:color="000000" w:sz="4" w:space="0"/>
            </w:tcBorders>
            <w:shd w:val="clear"/>
            <w:vAlign w:val="center"/>
          </w:tcPr>
          <w:p w14:paraId="7FDC8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成本指标</w:t>
            </w:r>
          </w:p>
        </w:tc>
        <w:tc>
          <w:tcPr>
            <w:tcW w:w="603" w:type="pct"/>
            <w:tcBorders>
              <w:top w:val="single" w:color="000000" w:sz="4" w:space="0"/>
              <w:left w:val="single" w:color="000000" w:sz="4" w:space="0"/>
              <w:bottom w:val="single" w:color="000000" w:sz="4" w:space="0"/>
              <w:right w:val="single" w:color="000000" w:sz="4" w:space="0"/>
            </w:tcBorders>
            <w:shd w:val="clear"/>
            <w:vAlign w:val="center"/>
          </w:tcPr>
          <w:p w14:paraId="02240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经济成本指标</w:t>
            </w:r>
          </w:p>
        </w:tc>
        <w:tc>
          <w:tcPr>
            <w:tcW w:w="694" w:type="pct"/>
            <w:tcBorders>
              <w:top w:val="single" w:color="000000" w:sz="4" w:space="0"/>
              <w:left w:val="single" w:color="000000" w:sz="4" w:space="0"/>
              <w:bottom w:val="single" w:color="000000" w:sz="4" w:space="0"/>
              <w:right w:val="single" w:color="000000" w:sz="4" w:space="0"/>
            </w:tcBorders>
            <w:shd w:val="clear"/>
            <w:vAlign w:val="center"/>
          </w:tcPr>
          <w:p w14:paraId="03611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档案整理及数字化增量经费</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F754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60E09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14:paraId="5235E5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万元</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75BE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0.52</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5F6CEA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7B226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66D8B5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r>
      <w:tr w14:paraId="69ED1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31" w:type="pct"/>
            <w:gridSpan w:val="8"/>
            <w:tcBorders>
              <w:top w:val="single" w:color="000000" w:sz="4" w:space="0"/>
              <w:left w:val="single" w:color="000000" w:sz="4" w:space="0"/>
              <w:bottom w:val="single" w:color="000000" w:sz="4" w:space="0"/>
              <w:right w:val="single" w:color="000000" w:sz="4" w:space="0"/>
            </w:tcBorders>
            <w:shd w:val="clear"/>
            <w:vAlign w:val="center"/>
          </w:tcPr>
          <w:p w14:paraId="1E5FBE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合计</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094CD0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vAlign w:val="center"/>
          </w:tcPr>
          <w:p w14:paraId="452B1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92</w:t>
            </w:r>
          </w:p>
        </w:tc>
        <w:tc>
          <w:tcPr>
            <w:tcW w:w="914" w:type="pct"/>
            <w:tcBorders>
              <w:top w:val="single" w:color="000000" w:sz="4" w:space="0"/>
              <w:left w:val="single" w:color="000000" w:sz="4" w:space="0"/>
              <w:bottom w:val="single" w:color="000000" w:sz="4" w:space="0"/>
              <w:right w:val="single" w:color="000000" w:sz="4" w:space="0"/>
            </w:tcBorders>
            <w:shd w:val="clear"/>
            <w:vAlign w:val="center"/>
          </w:tcPr>
          <w:p w14:paraId="32A8BB5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594A3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tcBorders>
              <w:top w:val="single" w:color="000000" w:sz="4" w:space="0"/>
              <w:left w:val="single" w:color="000000" w:sz="4" w:space="0"/>
              <w:bottom w:val="single" w:color="000000" w:sz="4" w:space="0"/>
              <w:right w:val="single" w:color="000000" w:sz="4" w:space="0"/>
            </w:tcBorders>
            <w:shd w:val="clear"/>
            <w:vAlign w:val="center"/>
          </w:tcPr>
          <w:p w14:paraId="14974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评价结论</w:t>
            </w:r>
          </w:p>
        </w:tc>
        <w:tc>
          <w:tcPr>
            <w:tcW w:w="4639" w:type="pct"/>
            <w:gridSpan w:val="10"/>
            <w:tcBorders>
              <w:top w:val="single" w:color="000000" w:sz="4" w:space="0"/>
              <w:left w:val="single" w:color="000000" w:sz="4" w:space="0"/>
              <w:bottom w:val="single" w:color="000000" w:sz="4" w:space="0"/>
              <w:right w:val="single" w:color="000000" w:sz="4" w:space="0"/>
            </w:tcBorders>
            <w:shd w:val="clear"/>
            <w:vAlign w:val="center"/>
          </w:tcPr>
          <w:p w14:paraId="5FF8ED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自评得分92分。项目立项合理，资金使用合理合规，档案整理数字化工作正在推进中。</w:t>
            </w:r>
          </w:p>
        </w:tc>
      </w:tr>
      <w:tr w14:paraId="09598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tcBorders>
              <w:top w:val="single" w:color="000000" w:sz="4" w:space="0"/>
              <w:left w:val="single" w:color="000000" w:sz="4" w:space="0"/>
              <w:bottom w:val="single" w:color="000000" w:sz="4" w:space="0"/>
              <w:right w:val="single" w:color="000000" w:sz="4" w:space="0"/>
            </w:tcBorders>
            <w:shd w:val="clear"/>
            <w:vAlign w:val="center"/>
          </w:tcPr>
          <w:p w14:paraId="1116E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存在问题</w:t>
            </w:r>
          </w:p>
        </w:tc>
        <w:tc>
          <w:tcPr>
            <w:tcW w:w="4639" w:type="pct"/>
            <w:gridSpan w:val="10"/>
            <w:tcBorders>
              <w:top w:val="single" w:color="000000" w:sz="4" w:space="0"/>
              <w:left w:val="single" w:color="000000" w:sz="4" w:space="0"/>
              <w:bottom w:val="single" w:color="000000" w:sz="4" w:space="0"/>
              <w:right w:val="single" w:color="000000" w:sz="4" w:space="0"/>
            </w:tcBorders>
            <w:shd w:val="clear"/>
            <w:vAlign w:val="center"/>
          </w:tcPr>
          <w:p w14:paraId="68E58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无</w:t>
            </w:r>
          </w:p>
        </w:tc>
      </w:tr>
      <w:tr w14:paraId="06852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0" w:type="pct"/>
            <w:tcBorders>
              <w:top w:val="single" w:color="000000" w:sz="4" w:space="0"/>
              <w:left w:val="single" w:color="000000" w:sz="4" w:space="0"/>
              <w:bottom w:val="single" w:color="000000" w:sz="4" w:space="0"/>
              <w:right w:val="single" w:color="000000" w:sz="4" w:space="0"/>
            </w:tcBorders>
            <w:shd w:val="clear"/>
            <w:vAlign w:val="center"/>
          </w:tcPr>
          <w:p w14:paraId="30409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改进措施</w:t>
            </w:r>
          </w:p>
        </w:tc>
        <w:tc>
          <w:tcPr>
            <w:tcW w:w="4639" w:type="pct"/>
            <w:gridSpan w:val="10"/>
            <w:tcBorders>
              <w:top w:val="single" w:color="000000" w:sz="4" w:space="0"/>
              <w:left w:val="single" w:color="000000" w:sz="4" w:space="0"/>
              <w:bottom w:val="single" w:color="000000" w:sz="4" w:space="0"/>
              <w:right w:val="single" w:color="000000" w:sz="4" w:space="0"/>
            </w:tcBorders>
            <w:shd w:val="clear"/>
            <w:vAlign w:val="center"/>
          </w:tcPr>
          <w:p w14:paraId="2FF74D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无</w:t>
            </w:r>
          </w:p>
        </w:tc>
      </w:tr>
      <w:tr w14:paraId="6AAAC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35" w:type="pct"/>
            <w:gridSpan w:val="5"/>
            <w:tcBorders>
              <w:top w:val="single" w:color="000000" w:sz="4" w:space="0"/>
              <w:left w:val="single" w:color="000000" w:sz="4" w:space="0"/>
              <w:bottom w:val="single" w:color="000000" w:sz="4" w:space="0"/>
              <w:right w:val="single" w:color="000000" w:sz="4" w:space="0"/>
            </w:tcBorders>
            <w:shd w:val="clear"/>
            <w:vAlign w:val="center"/>
          </w:tcPr>
          <w:p w14:paraId="52AA22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项目负责人：张颖</w:t>
            </w:r>
          </w:p>
        </w:tc>
        <w:tc>
          <w:tcPr>
            <w:tcW w:w="2464" w:type="pct"/>
            <w:gridSpan w:val="6"/>
            <w:tcBorders>
              <w:top w:val="single" w:color="000000" w:sz="4" w:space="0"/>
              <w:left w:val="single" w:color="000000" w:sz="4" w:space="0"/>
              <w:bottom w:val="single" w:color="000000" w:sz="4" w:space="0"/>
              <w:right w:val="single" w:color="000000" w:sz="4" w:space="0"/>
            </w:tcBorders>
            <w:shd w:val="clear"/>
            <w:vAlign w:val="center"/>
          </w:tcPr>
          <w:p w14:paraId="46FD72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财务负责人：冯亮</w:t>
            </w:r>
          </w:p>
        </w:tc>
      </w:tr>
    </w:tbl>
    <w:p w14:paraId="28DBCDAB">
      <w:pPr>
        <w:spacing w:line="240" w:lineRule="auto"/>
        <w:jc w:val="left"/>
        <w:outlineLvl w:val="0"/>
        <w:rPr>
          <w:rFonts w:hint="eastAsia" w:ascii="黑体" w:hAnsi="黑体" w:eastAsia="黑体" w:cs="黑体"/>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Style w:val="15"/>
        <w:tblpPr w:leftFromText="180" w:rightFromText="180" w:vertAnchor="text" w:horzAnchor="page" w:tblpX="1430" w:tblpY="59"/>
        <w:tblOverlap w:val="never"/>
        <w:tblW w:w="49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6"/>
        <w:gridCol w:w="1680"/>
        <w:gridCol w:w="1232"/>
        <w:gridCol w:w="1232"/>
        <w:gridCol w:w="1026"/>
        <w:gridCol w:w="871"/>
        <w:gridCol w:w="1043"/>
        <w:gridCol w:w="1827"/>
        <w:gridCol w:w="138"/>
        <w:gridCol w:w="682"/>
        <w:gridCol w:w="682"/>
        <w:gridCol w:w="2708"/>
      </w:tblGrid>
      <w:tr w14:paraId="2FCA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CAB3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DAFB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9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8B9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项目名称</w:t>
            </w:r>
          </w:p>
        </w:tc>
        <w:tc>
          <w:tcPr>
            <w:tcW w:w="40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1C214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预防保健经费</w:t>
            </w:r>
          </w:p>
        </w:tc>
      </w:tr>
      <w:tr w14:paraId="1786E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9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A84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主管部门</w:t>
            </w:r>
          </w:p>
        </w:tc>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9255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广元市昭化区人民检察院部门</w:t>
            </w:r>
          </w:p>
        </w:tc>
        <w:tc>
          <w:tcPr>
            <w:tcW w:w="646" w:type="pct"/>
            <w:tcBorders>
              <w:top w:val="nil"/>
              <w:left w:val="nil"/>
              <w:bottom w:val="nil"/>
              <w:right w:val="nil"/>
            </w:tcBorders>
            <w:shd w:val="clear" w:color="auto" w:fill="auto"/>
            <w:vAlign w:val="center"/>
          </w:tcPr>
          <w:p w14:paraId="2EEF5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实施单位 （盖章）</w:t>
            </w:r>
          </w:p>
        </w:tc>
        <w:tc>
          <w:tcPr>
            <w:tcW w:w="149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96CC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广元市昭化区人民检察院</w:t>
            </w:r>
          </w:p>
        </w:tc>
      </w:tr>
      <w:tr w14:paraId="5CCA3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5D9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项目基本情况</w:t>
            </w:r>
          </w:p>
        </w:tc>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48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1.项目年度目标完成情况</w:t>
            </w:r>
          </w:p>
        </w:tc>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815F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项目年度目标</w:t>
            </w:r>
          </w:p>
        </w:tc>
        <w:tc>
          <w:tcPr>
            <w:tcW w:w="214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135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年度目标完成情况</w:t>
            </w:r>
          </w:p>
        </w:tc>
      </w:tr>
      <w:tr w14:paraId="20B96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4D07E">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107D5">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BF19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为加强全院干警医疗保健，切实保障全院干警身心健康，以良好的精神风貌扎实开展各项检察工作。</w:t>
            </w:r>
          </w:p>
        </w:tc>
        <w:tc>
          <w:tcPr>
            <w:tcW w:w="214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F98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提供了身体检查，确实保障了全院干警身心健康。</w:t>
            </w:r>
          </w:p>
        </w:tc>
      </w:tr>
      <w:tr w14:paraId="0BB3C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91EF1">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FE9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2.项目实施内容及过程概述</w:t>
            </w:r>
          </w:p>
        </w:tc>
        <w:tc>
          <w:tcPr>
            <w:tcW w:w="40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66601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通过加强全院干警医疗保健，切实保障全院干警身心健康，以良好的精神风貌扎实开展各项检察工作。</w:t>
            </w:r>
          </w:p>
        </w:tc>
      </w:tr>
      <w:tr w14:paraId="5A34E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3A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预算执行情况（10分）</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9E3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年度预算数（万元）</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5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年初预算</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1A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调整后预算数</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81B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预算执行数</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9C8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预算执行率</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41D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权重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047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得分</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3A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原因</w:t>
            </w:r>
          </w:p>
        </w:tc>
      </w:tr>
      <w:tr w14:paraId="343BD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765E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A3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总额</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AA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66B1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4DE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C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1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99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6C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55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9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534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C098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FB726">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A5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其中：财政资金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0D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C2C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95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506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23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6.40</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72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AC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19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DEC8F">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5772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043A4">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A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财政专户管理资金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5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2C094">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D0D90">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D902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AB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64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AC817">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63857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66FE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C6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单位资金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E6C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4E84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0DACD9">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F0105">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3A2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1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F9415">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058CD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EF4F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1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F57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1CB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23238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E0D2">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25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F9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0DD5F">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7ACA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restart"/>
            <w:tcBorders>
              <w:top w:val="single" w:color="000000" w:sz="4" w:space="0"/>
              <w:left w:val="single" w:color="000000" w:sz="4" w:space="0"/>
              <w:bottom w:val="nil"/>
              <w:right w:val="single" w:color="000000" w:sz="4" w:space="0"/>
            </w:tcBorders>
            <w:shd w:val="clear" w:color="auto" w:fill="auto"/>
            <w:vAlign w:val="center"/>
          </w:tcPr>
          <w:p w14:paraId="7A882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绩效指标（90分）</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73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一级指标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E7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二级指标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E2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三级指标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AA0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指标性质</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C5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指标值</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42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度量单位</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8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完成值</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478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权重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9C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得分</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B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未完成原因分析</w:t>
            </w:r>
          </w:p>
        </w:tc>
      </w:tr>
      <w:tr w14:paraId="36C16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46" w:type="pct"/>
            <w:vMerge w:val="continue"/>
            <w:tcBorders>
              <w:top w:val="single" w:color="000000" w:sz="4" w:space="0"/>
              <w:left w:val="single" w:color="000000" w:sz="4" w:space="0"/>
              <w:bottom w:val="nil"/>
              <w:right w:val="single" w:color="000000" w:sz="4" w:space="0"/>
            </w:tcBorders>
            <w:shd w:val="clear" w:color="auto" w:fill="auto"/>
            <w:vAlign w:val="center"/>
          </w:tcPr>
          <w:p w14:paraId="11C7028F">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E2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产出指标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EB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质量指标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A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医疗机构符合相关要求</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B7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定性</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6D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6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优良中差</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D5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EF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E0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85576">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11BD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nil"/>
              <w:right w:val="single" w:color="000000" w:sz="4" w:space="0"/>
            </w:tcBorders>
            <w:shd w:val="clear" w:color="auto" w:fill="auto"/>
            <w:vAlign w:val="center"/>
          </w:tcPr>
          <w:p w14:paraId="3E517A8A">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65C24">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A64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数量指标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2C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覆盖职工人数</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D2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BD0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CD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3D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4A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0D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5DAAC">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3E33B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46" w:type="pct"/>
            <w:vMerge w:val="continue"/>
            <w:tcBorders>
              <w:top w:val="single" w:color="000000" w:sz="4" w:space="0"/>
              <w:left w:val="single" w:color="000000" w:sz="4" w:space="0"/>
              <w:bottom w:val="nil"/>
              <w:right w:val="single" w:color="000000" w:sz="4" w:space="0"/>
            </w:tcBorders>
            <w:shd w:val="clear" w:color="auto" w:fill="auto"/>
            <w:vAlign w:val="center"/>
          </w:tcPr>
          <w:p w14:paraId="7662B01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8E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效益指标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30B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可持续影响指标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EF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身体机能状态</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DB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定性</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1A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5A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优良中差</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A9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6C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F3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887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366A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vMerge w:val="continue"/>
            <w:tcBorders>
              <w:top w:val="single" w:color="000000" w:sz="4" w:space="0"/>
              <w:left w:val="single" w:color="000000" w:sz="4" w:space="0"/>
              <w:bottom w:val="nil"/>
              <w:right w:val="single" w:color="000000" w:sz="4" w:space="0"/>
            </w:tcBorders>
            <w:shd w:val="clear" w:color="auto" w:fill="auto"/>
            <w:vAlign w:val="center"/>
          </w:tcPr>
          <w:p w14:paraId="5F44F86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6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成本指标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4A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经济成本指标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5B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人均体检费用</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CD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47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A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元/人</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AE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C1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40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AC5ED">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1038E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46" w:type="pct"/>
            <w:vMerge w:val="continue"/>
            <w:tcBorders>
              <w:top w:val="single" w:color="000000" w:sz="4" w:space="0"/>
              <w:left w:val="single" w:color="000000" w:sz="4" w:space="0"/>
              <w:bottom w:val="nil"/>
              <w:right w:val="single" w:color="000000" w:sz="4" w:space="0"/>
            </w:tcBorders>
            <w:shd w:val="clear" w:color="auto" w:fill="auto"/>
            <w:vAlign w:val="center"/>
          </w:tcPr>
          <w:p w14:paraId="170AB2E2">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D9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满意度指标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BE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服务对象满意度指标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036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干警满意度</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F0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70E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81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10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95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1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3B833">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0F9FC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50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C652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合计</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BD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7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A0F4">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4EAF5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EC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评价结论</w:t>
            </w:r>
          </w:p>
        </w:tc>
        <w:tc>
          <w:tcPr>
            <w:tcW w:w="465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75FDD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自评得分100分。项目立项合理，资金使用合理合规，切实保障全院干警身心健康。</w:t>
            </w:r>
          </w:p>
        </w:tc>
      </w:tr>
      <w:tr w14:paraId="00EBD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5A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存在问题</w:t>
            </w:r>
          </w:p>
        </w:tc>
        <w:tc>
          <w:tcPr>
            <w:tcW w:w="465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83C5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14:paraId="20C28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E5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改进措施</w:t>
            </w:r>
          </w:p>
        </w:tc>
        <w:tc>
          <w:tcPr>
            <w:tcW w:w="465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ECA4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14:paraId="0D7B8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1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E0AB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项目负责人：张颖</w:t>
            </w:r>
          </w:p>
        </w:tc>
        <w:tc>
          <w:tcPr>
            <w:tcW w:w="281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1FBC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财务负责人：冯亮</w:t>
            </w:r>
          </w:p>
        </w:tc>
      </w:tr>
    </w:tbl>
    <w:tbl>
      <w:tblPr>
        <w:tblStyle w:val="15"/>
        <w:tblpPr w:leftFromText="180" w:rightFromText="180" w:vertAnchor="text" w:horzAnchor="page" w:tblpX="1345" w:tblpY="48"/>
        <w:tblOverlap w:val="never"/>
        <w:tblW w:w="491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6"/>
        <w:gridCol w:w="1205"/>
        <w:gridCol w:w="1049"/>
        <w:gridCol w:w="2027"/>
        <w:gridCol w:w="1066"/>
        <w:gridCol w:w="1049"/>
        <w:gridCol w:w="1002"/>
        <w:gridCol w:w="1370"/>
        <w:gridCol w:w="874"/>
        <w:gridCol w:w="699"/>
        <w:gridCol w:w="2542"/>
      </w:tblGrid>
      <w:tr w14:paraId="5EB0A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4D975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3"/>
                <w:szCs w:val="13"/>
                <w:u w:val="none"/>
              </w:rPr>
            </w:pPr>
            <w:r>
              <w:rPr>
                <w:rFonts w:hint="eastAsia" w:ascii="黑体" w:hAnsi="黑体" w:eastAsia="黑体" w:cs="黑体"/>
                <w:b/>
                <w:bCs/>
                <w:i w:val="0"/>
                <w:iCs w:val="0"/>
                <w:color w:val="000000"/>
                <w:kern w:val="0"/>
                <w:sz w:val="30"/>
                <w:szCs w:val="30"/>
                <w:u w:val="none"/>
                <w:lang w:val="en-US" w:eastAsia="zh-CN" w:bidi="ar"/>
              </w:rPr>
              <w:t>部门预算项目支出绩效自评表（2023年度）</w:t>
            </w:r>
          </w:p>
        </w:tc>
      </w:tr>
      <w:tr w14:paraId="6CF35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E74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项目名称</w:t>
            </w:r>
          </w:p>
        </w:tc>
        <w:tc>
          <w:tcPr>
            <w:tcW w:w="419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FB99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检察宣传及视频制作经费</w:t>
            </w:r>
          </w:p>
        </w:tc>
      </w:tr>
      <w:tr w14:paraId="3E12A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7C2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主管部门</w:t>
            </w:r>
          </w:p>
        </w:tc>
        <w:tc>
          <w:tcPr>
            <w:tcW w:w="22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BE4B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广元市昭化区人民检察院部门</w:t>
            </w:r>
          </w:p>
        </w:tc>
        <w:tc>
          <w:tcPr>
            <w:tcW w:w="489" w:type="pct"/>
            <w:tcBorders>
              <w:top w:val="nil"/>
              <w:left w:val="nil"/>
              <w:bottom w:val="nil"/>
              <w:right w:val="nil"/>
            </w:tcBorders>
            <w:shd w:val="clear" w:color="auto" w:fill="auto"/>
            <w:vAlign w:val="center"/>
          </w:tcPr>
          <w:p w14:paraId="344EE1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实施单位 （盖章）</w:t>
            </w:r>
          </w:p>
        </w:tc>
        <w:tc>
          <w:tcPr>
            <w:tcW w:w="147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9B1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广元市昭化区人民检察院</w:t>
            </w:r>
          </w:p>
        </w:tc>
      </w:tr>
      <w:tr w14:paraId="1714D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F0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项目基本情况</w:t>
            </w:r>
          </w:p>
        </w:tc>
        <w:tc>
          <w:tcPr>
            <w:tcW w:w="4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434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1.项目年度目标完成情况</w:t>
            </w:r>
          </w:p>
        </w:tc>
        <w:tc>
          <w:tcPr>
            <w:tcW w:w="22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9FE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项目年度目标</w:t>
            </w:r>
          </w:p>
        </w:tc>
        <w:tc>
          <w:tcPr>
            <w:tcW w:w="19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174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年度目标完成情况</w:t>
            </w:r>
          </w:p>
        </w:tc>
      </w:tr>
      <w:tr w14:paraId="2EA74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7214C">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4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BC480">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22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4281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提高检察宣传工作整体水平，推动检察工作创新发展，不断拓宽新闻宣传渠道，进一步加大检察宣传力度，提升检察法治形象。</w:t>
            </w:r>
          </w:p>
        </w:tc>
        <w:tc>
          <w:tcPr>
            <w:tcW w:w="19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5D5E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提高了检察宣传工作整体水平，推动了检察工作创新发展，不断拓宽了新闻宣传渠道，进一步加大了检察宣传力度，提升了检察法治形象。</w:t>
            </w:r>
          </w:p>
        </w:tc>
      </w:tr>
      <w:tr w14:paraId="01365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A4687">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EDF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2.项目实施内容及过程概述</w:t>
            </w:r>
          </w:p>
        </w:tc>
        <w:tc>
          <w:tcPr>
            <w:tcW w:w="419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56D9A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拓宽新闻宣传渠道，加大检察宣传力度，提升检察法治形象。</w:t>
            </w:r>
          </w:p>
        </w:tc>
      </w:tr>
      <w:tr w14:paraId="6FC2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C8D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预算执行情况（10分）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F2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年度预算数（万元）</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5C1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年初预算</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1C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调整后预算数</w:t>
            </w:r>
          </w:p>
        </w:tc>
        <w:tc>
          <w:tcPr>
            <w:tcW w:w="11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30F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预算执行数</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DF1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预算执行率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E9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权重</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633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得分</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A0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原因</w:t>
            </w:r>
          </w:p>
        </w:tc>
      </w:tr>
      <w:tr w14:paraId="3DA16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1AEB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EEE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总额</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1B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851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B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F5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EA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528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4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1C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9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95F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C25C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A6B4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0A2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其中：财政资金</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25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56911">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A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F5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5E1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5.00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D8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7A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28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E060D">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730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65918">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2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财政专户管理资金</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2C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0.00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DC4FF">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1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1D664F">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CAAD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4B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CE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CB3E8">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08AC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7020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6B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单位资金</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00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0.00</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22F61">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11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AE9F19">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E00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68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6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F837F">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3B6F8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D8E28">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5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其他资金</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7C8A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00B98">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11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B43D7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27E5C">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F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E6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3E4A4">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382E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restart"/>
            <w:tcBorders>
              <w:top w:val="single" w:color="000000" w:sz="4" w:space="0"/>
              <w:left w:val="single" w:color="000000" w:sz="4" w:space="0"/>
              <w:bottom w:val="nil"/>
              <w:right w:val="single" w:color="000000" w:sz="4" w:space="0"/>
            </w:tcBorders>
            <w:shd w:val="clear" w:color="auto" w:fill="auto"/>
            <w:vAlign w:val="center"/>
          </w:tcPr>
          <w:p w14:paraId="24EE9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绩效指标（90分）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4D1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一级指标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B7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二级指标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7E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三级指标</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F1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指标性质</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A7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指标值</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8E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度量单位</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3AD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完成值</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3C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权重</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32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得分</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F4D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未完成原因分析</w:t>
            </w:r>
          </w:p>
        </w:tc>
      </w:tr>
      <w:tr w14:paraId="7E934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7DCF290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5F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产出指标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A0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数量指标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68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检察视频制作数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D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11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63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条</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15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3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1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A0DBA">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229B0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559A7108">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F6886">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933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数量指标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DE3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中央级主流媒体新闻刊（播）量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1B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2B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EC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条</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FCA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3</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9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14</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2E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14</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DFB47">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65B1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762D56F4">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466E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5C8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数量指标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E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省级主流媒体新闻刊（播）量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36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7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7</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24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条</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6CB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BF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14</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F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14</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ADC77">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968D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08AA4649">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76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效益指标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6F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社会效益指标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21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加大检察宣传力度</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7E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定性</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0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5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优良中差</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93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9B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62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63F1">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4A2E6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3CF209E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C9061">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08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可持续影响指标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C6F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通过宣传不断提升检察法治形象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FC9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定性</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DF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5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优良中差</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C8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优</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CA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6C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4FAF5">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3"/>
                <w:szCs w:val="13"/>
                <w:u w:val="none"/>
              </w:rPr>
            </w:pPr>
          </w:p>
        </w:tc>
      </w:tr>
      <w:tr w14:paraId="7FA5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02FBAC2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57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成本指标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76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经济成本指标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AA8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检察宣传及视频制作经费</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98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F0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6D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万元</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A1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07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F3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2D414">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6B07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nil"/>
              <w:left w:val="single" w:color="000000" w:sz="4" w:space="0"/>
              <w:bottom w:val="nil"/>
              <w:right w:val="single" w:color="000000" w:sz="4" w:space="0"/>
            </w:tcBorders>
            <w:shd w:val="clear" w:color="auto" w:fill="auto"/>
            <w:vAlign w:val="center"/>
          </w:tcPr>
          <w:p w14:paraId="297EABFE">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3"/>
                <w:szCs w:val="13"/>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7F6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满意度指标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74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服务对象满意度指标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22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提高群众满意度</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3A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FF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C52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FE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05A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9A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ACACA">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77E05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52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F845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76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1C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A5CE">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3"/>
                <w:szCs w:val="13"/>
                <w:u w:val="none"/>
              </w:rPr>
            </w:pPr>
          </w:p>
        </w:tc>
      </w:tr>
      <w:tr w14:paraId="1514B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BD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评价结论</w:t>
            </w:r>
          </w:p>
        </w:tc>
        <w:tc>
          <w:tcPr>
            <w:tcW w:w="46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878D2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自评得分96分。项目立项合理，资金使用合理合规，加大检察宣传力度，提升检察法治形象。</w:t>
            </w:r>
          </w:p>
        </w:tc>
      </w:tr>
      <w:tr w14:paraId="27F7F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3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存在问题</w:t>
            </w:r>
          </w:p>
        </w:tc>
        <w:tc>
          <w:tcPr>
            <w:tcW w:w="46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10DA3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无</w:t>
            </w:r>
          </w:p>
        </w:tc>
      </w:tr>
      <w:tr w14:paraId="2B7DB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D3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改进措施</w:t>
            </w:r>
          </w:p>
        </w:tc>
        <w:tc>
          <w:tcPr>
            <w:tcW w:w="46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BA8A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无</w:t>
            </w:r>
          </w:p>
        </w:tc>
      </w:tr>
      <w:tr w14:paraId="4417E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9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5D7B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项目负责人：张颖</w:t>
            </w:r>
          </w:p>
        </w:tc>
        <w:tc>
          <w:tcPr>
            <w:tcW w:w="270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FCF59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财务负责人：冯亮</w:t>
            </w:r>
          </w:p>
        </w:tc>
      </w:tr>
    </w:tbl>
    <w:p w14:paraId="7409B006">
      <w:pPr>
        <w:keepNext w:val="0"/>
        <w:keepLines w:val="0"/>
        <w:pageBreakBefore w:val="0"/>
        <w:kinsoku/>
        <w:wordWrap/>
        <w:overflowPunct/>
        <w:topLinePunct w:val="0"/>
        <w:autoSpaceDE/>
        <w:autoSpaceDN/>
        <w:bidi w:val="0"/>
        <w:adjustRightInd/>
        <w:snapToGrid/>
        <w:spacing w:line="240" w:lineRule="exact"/>
        <w:jc w:val="left"/>
        <w:outlineLvl w:val="0"/>
        <w:rPr>
          <w:rFonts w:hint="eastAsia" w:ascii="宋体" w:hAnsi="宋体" w:eastAsia="宋体" w:cs="宋体"/>
          <w:sz w:val="13"/>
          <w:szCs w:val="13"/>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62"/>
        <w:gridCol w:w="1740"/>
        <w:gridCol w:w="1069"/>
        <w:gridCol w:w="1449"/>
        <w:gridCol w:w="692"/>
        <w:gridCol w:w="1069"/>
        <w:gridCol w:w="1074"/>
        <w:gridCol w:w="1352"/>
        <w:gridCol w:w="797"/>
        <w:gridCol w:w="1069"/>
        <w:gridCol w:w="2801"/>
      </w:tblGrid>
      <w:tr w14:paraId="6E9B1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677615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47D3A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9" w:type="pct"/>
            <w:gridSpan w:val="2"/>
            <w:tcBorders>
              <w:top w:val="single" w:color="000000" w:sz="4" w:space="0"/>
              <w:left w:val="single" w:color="000000" w:sz="4" w:space="0"/>
              <w:bottom w:val="single" w:color="000000" w:sz="4" w:space="0"/>
              <w:right w:val="single" w:color="000000" w:sz="4" w:space="0"/>
            </w:tcBorders>
            <w:shd w:val="clear"/>
            <w:vAlign w:val="center"/>
          </w:tcPr>
          <w:p w14:paraId="344B1F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4010" w:type="pct"/>
            <w:gridSpan w:val="9"/>
            <w:tcBorders>
              <w:top w:val="single" w:color="000000" w:sz="4" w:space="0"/>
              <w:left w:val="single" w:color="000000" w:sz="4" w:space="0"/>
              <w:bottom w:val="single" w:color="000000" w:sz="4" w:space="0"/>
              <w:right w:val="single" w:color="000000" w:sz="4" w:space="0"/>
            </w:tcBorders>
            <w:shd w:val="clear"/>
            <w:vAlign w:val="center"/>
          </w:tcPr>
          <w:p w14:paraId="7011E9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51000021R000000019951-工资性支出</w:t>
            </w:r>
          </w:p>
        </w:tc>
      </w:tr>
      <w:tr w14:paraId="3C8FD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989" w:type="pct"/>
            <w:gridSpan w:val="2"/>
            <w:tcBorders>
              <w:top w:val="single" w:color="000000" w:sz="4" w:space="0"/>
              <w:left w:val="single" w:color="000000" w:sz="4" w:space="0"/>
              <w:bottom w:val="single" w:color="000000" w:sz="4" w:space="0"/>
              <w:right w:val="single" w:color="000000" w:sz="4" w:space="0"/>
            </w:tcBorders>
            <w:shd w:val="clear"/>
            <w:vAlign w:val="center"/>
          </w:tcPr>
          <w:p w14:paraId="333945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1888" w:type="pct"/>
            <w:gridSpan w:val="5"/>
            <w:tcBorders>
              <w:top w:val="single" w:color="000000" w:sz="4" w:space="0"/>
              <w:left w:val="single" w:color="000000" w:sz="4" w:space="0"/>
              <w:bottom w:val="single" w:color="000000" w:sz="4" w:space="0"/>
              <w:right w:val="single" w:color="000000" w:sz="4" w:space="0"/>
            </w:tcBorders>
            <w:shd w:val="clear"/>
            <w:vAlign w:val="center"/>
          </w:tcPr>
          <w:p w14:paraId="14A4E0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广元市昭化区人民检察院部门</w:t>
            </w:r>
          </w:p>
        </w:tc>
        <w:tc>
          <w:tcPr>
            <w:tcW w:w="475" w:type="pct"/>
            <w:tcBorders>
              <w:top w:val="nil"/>
              <w:left w:val="nil"/>
              <w:bottom w:val="nil"/>
              <w:right w:val="nil"/>
            </w:tcBorders>
            <w:shd w:val="clear"/>
            <w:vAlign w:val="center"/>
          </w:tcPr>
          <w:p w14:paraId="30716C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1646" w:type="pct"/>
            <w:gridSpan w:val="3"/>
            <w:tcBorders>
              <w:top w:val="single" w:color="000000" w:sz="4" w:space="0"/>
              <w:left w:val="single" w:color="000000" w:sz="4" w:space="0"/>
              <w:bottom w:val="single" w:color="000000" w:sz="4" w:space="0"/>
              <w:right w:val="single" w:color="000000" w:sz="4" w:space="0"/>
            </w:tcBorders>
            <w:shd w:val="clear"/>
            <w:vAlign w:val="center"/>
          </w:tcPr>
          <w:p w14:paraId="65F92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w:t>
            </w:r>
          </w:p>
        </w:tc>
      </w:tr>
      <w:tr w14:paraId="47E7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restart"/>
            <w:tcBorders>
              <w:top w:val="single" w:color="000000" w:sz="4" w:space="0"/>
              <w:left w:val="single" w:color="000000" w:sz="4" w:space="0"/>
              <w:bottom w:val="single" w:color="000000" w:sz="4" w:space="0"/>
              <w:right w:val="single" w:color="000000" w:sz="4" w:space="0"/>
            </w:tcBorders>
            <w:shd w:val="clear"/>
            <w:vAlign w:val="center"/>
          </w:tcPr>
          <w:p w14:paraId="1448A7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613" w:type="pct"/>
            <w:vMerge w:val="restart"/>
            <w:tcBorders>
              <w:top w:val="single" w:color="000000" w:sz="4" w:space="0"/>
              <w:left w:val="single" w:color="000000" w:sz="4" w:space="0"/>
              <w:bottom w:val="single" w:color="000000" w:sz="4" w:space="0"/>
              <w:right w:val="single" w:color="000000" w:sz="4" w:space="0"/>
            </w:tcBorders>
            <w:shd w:val="clear"/>
            <w:vAlign w:val="center"/>
          </w:tcPr>
          <w:p w14:paraId="27EF68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1888" w:type="pct"/>
            <w:gridSpan w:val="5"/>
            <w:tcBorders>
              <w:top w:val="single" w:color="000000" w:sz="4" w:space="0"/>
              <w:left w:val="single" w:color="000000" w:sz="4" w:space="0"/>
              <w:bottom w:val="single" w:color="000000" w:sz="4" w:space="0"/>
              <w:right w:val="single" w:color="000000" w:sz="4" w:space="0"/>
            </w:tcBorders>
            <w:shd w:val="clear"/>
            <w:vAlign w:val="center"/>
          </w:tcPr>
          <w:p w14:paraId="48943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2122" w:type="pct"/>
            <w:gridSpan w:val="4"/>
            <w:tcBorders>
              <w:top w:val="single" w:color="000000" w:sz="4" w:space="0"/>
              <w:left w:val="single" w:color="000000" w:sz="4" w:space="0"/>
              <w:bottom w:val="single" w:color="000000" w:sz="4" w:space="0"/>
              <w:right w:val="single" w:color="000000" w:sz="4" w:space="0"/>
            </w:tcBorders>
            <w:shd w:val="clear"/>
            <w:vAlign w:val="center"/>
          </w:tcPr>
          <w:p w14:paraId="090B77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00BF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D6C0B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1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8E84A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888" w:type="pct"/>
            <w:gridSpan w:val="5"/>
            <w:tcBorders>
              <w:top w:val="single" w:color="000000" w:sz="4" w:space="0"/>
              <w:left w:val="single" w:color="000000" w:sz="4" w:space="0"/>
              <w:bottom w:val="single" w:color="000000" w:sz="4" w:space="0"/>
              <w:right w:val="single" w:color="000000" w:sz="4" w:space="0"/>
            </w:tcBorders>
            <w:shd w:val="clear"/>
            <w:vAlign w:val="center"/>
          </w:tcPr>
          <w:p w14:paraId="1016A3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2122" w:type="pct"/>
            <w:gridSpan w:val="4"/>
            <w:tcBorders>
              <w:top w:val="single" w:color="000000" w:sz="4" w:space="0"/>
              <w:left w:val="single" w:color="000000" w:sz="4" w:space="0"/>
              <w:bottom w:val="single" w:color="000000" w:sz="4" w:space="0"/>
              <w:right w:val="single" w:color="000000" w:sz="4" w:space="0"/>
            </w:tcBorders>
            <w:shd w:val="clear"/>
            <w:vAlign w:val="center"/>
          </w:tcPr>
          <w:p w14:paraId="65FC1D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按时足额发放工资及缴纳社保，预算编制科学合理，减少结余资金</w:t>
            </w:r>
          </w:p>
        </w:tc>
      </w:tr>
      <w:tr w14:paraId="5E4B5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2D261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1B7D27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4010" w:type="pct"/>
            <w:gridSpan w:val="9"/>
            <w:tcBorders>
              <w:top w:val="single" w:color="000000" w:sz="4" w:space="0"/>
              <w:left w:val="single" w:color="000000" w:sz="4" w:space="0"/>
              <w:bottom w:val="single" w:color="000000" w:sz="4" w:space="0"/>
              <w:right w:val="single" w:color="000000" w:sz="4" w:space="0"/>
            </w:tcBorders>
            <w:shd w:val="clear"/>
            <w:vAlign w:val="center"/>
          </w:tcPr>
          <w:p w14:paraId="0624A3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每月按时发放工资，及时缴纳社保</w:t>
            </w:r>
          </w:p>
        </w:tc>
      </w:tr>
      <w:tr w14:paraId="2622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75" w:type="pct"/>
            <w:vMerge w:val="restart"/>
            <w:tcBorders>
              <w:top w:val="single" w:color="000000" w:sz="4" w:space="0"/>
              <w:left w:val="single" w:color="000000" w:sz="4" w:space="0"/>
              <w:bottom w:val="single" w:color="000000" w:sz="4" w:space="0"/>
              <w:right w:val="single" w:color="000000" w:sz="4" w:space="0"/>
            </w:tcBorders>
            <w:shd w:val="clear"/>
            <w:vAlign w:val="center"/>
          </w:tcPr>
          <w:p w14:paraId="2600E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7F77E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5F424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25276D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0246D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7CD2C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F99DC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1E7A8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88" w:type="pct"/>
            <w:tcBorders>
              <w:top w:val="single" w:color="000000" w:sz="4" w:space="0"/>
              <w:left w:val="single" w:color="000000" w:sz="4" w:space="0"/>
              <w:bottom w:val="single" w:color="000000" w:sz="4" w:space="0"/>
              <w:right w:val="single" w:color="000000" w:sz="4" w:space="0"/>
            </w:tcBorders>
            <w:shd w:val="clear"/>
            <w:vAlign w:val="center"/>
          </w:tcPr>
          <w:p w14:paraId="1E28B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65BB4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9EE5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5F1BAC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56188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404.38</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1AFA4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410.42</w:t>
            </w: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67BFE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406.48</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66CB6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99.04%</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2CB8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341C9D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8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56A04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3E04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8BAA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58F2F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66C90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404.38</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43910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410.42</w:t>
            </w: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41A57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406.48</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328AA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99.04%</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7AA0D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6D8D1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8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925ED0">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26F9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85D6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2AD02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6915F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23C7B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2B56F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6F4E7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0481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38D65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8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FCC997">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3C7B1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6628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4C68DF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75327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0A99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1D46D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603B0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31BD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46EC0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8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D0DFF6">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296BC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26E7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17EE8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1F2000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2572DA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000" w:type="pct"/>
            <w:gridSpan w:val="3"/>
            <w:tcBorders>
              <w:top w:val="single" w:color="000000" w:sz="4" w:space="0"/>
              <w:left w:val="single" w:color="000000" w:sz="4" w:space="0"/>
              <w:bottom w:val="single" w:color="000000" w:sz="4" w:space="0"/>
              <w:right w:val="single" w:color="000000" w:sz="4" w:space="0"/>
            </w:tcBorders>
            <w:shd w:val="clear"/>
            <w:vAlign w:val="center"/>
          </w:tcPr>
          <w:p w14:paraId="10641E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27176B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63D66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33EAC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8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735A40">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50839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vMerge w:val="restart"/>
            <w:tcBorders>
              <w:top w:val="single" w:color="000000" w:sz="4" w:space="0"/>
              <w:left w:val="single" w:color="000000" w:sz="4" w:space="0"/>
              <w:bottom w:val="single" w:color="000000" w:sz="4" w:space="0"/>
              <w:right w:val="single" w:color="000000" w:sz="4" w:space="0"/>
            </w:tcBorders>
            <w:shd w:val="clear"/>
            <w:vAlign w:val="center"/>
          </w:tcPr>
          <w:p w14:paraId="04A3CE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4F6B0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52DB1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9814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F390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1038E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378" w:type="pct"/>
            <w:tcBorders>
              <w:top w:val="single" w:color="000000" w:sz="4" w:space="0"/>
              <w:left w:val="single" w:color="000000" w:sz="4" w:space="0"/>
              <w:bottom w:val="single" w:color="000000" w:sz="4" w:space="0"/>
              <w:right w:val="single" w:color="000000" w:sz="4" w:space="0"/>
            </w:tcBorders>
            <w:shd w:val="clear"/>
            <w:vAlign w:val="center"/>
          </w:tcPr>
          <w:p w14:paraId="2AF75F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065190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7576F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28553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88" w:type="pct"/>
            <w:tcBorders>
              <w:top w:val="single" w:color="000000" w:sz="4" w:space="0"/>
              <w:left w:val="single" w:color="000000" w:sz="4" w:space="0"/>
              <w:bottom w:val="single" w:color="000000" w:sz="4" w:space="0"/>
              <w:right w:val="single" w:color="000000" w:sz="4" w:space="0"/>
            </w:tcBorders>
            <w:shd w:val="clear"/>
            <w:vAlign w:val="center"/>
          </w:tcPr>
          <w:p w14:paraId="725CA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74605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310A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1C7AD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12234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6E364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13FB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232A2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78" w:type="pct"/>
            <w:tcBorders>
              <w:top w:val="single" w:color="000000" w:sz="4" w:space="0"/>
              <w:left w:val="single" w:color="000000" w:sz="4" w:space="0"/>
              <w:bottom w:val="single" w:color="000000" w:sz="4" w:space="0"/>
              <w:right w:val="single" w:color="000000" w:sz="4" w:space="0"/>
            </w:tcBorders>
            <w:shd w:val="clear"/>
            <w:vAlign w:val="center"/>
          </w:tcPr>
          <w:p w14:paraId="15AFD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72459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04D2C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62D06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988" w:type="pct"/>
            <w:tcBorders>
              <w:top w:val="single" w:color="000000" w:sz="4" w:space="0"/>
              <w:left w:val="single" w:color="000000" w:sz="4" w:space="0"/>
              <w:bottom w:val="single" w:color="000000" w:sz="4" w:space="0"/>
              <w:right w:val="single" w:color="000000" w:sz="4" w:space="0"/>
            </w:tcBorders>
            <w:shd w:val="clear"/>
            <w:vAlign w:val="center"/>
          </w:tcPr>
          <w:p w14:paraId="7B3B4C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0823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7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007D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vAlign w:val="center"/>
          </w:tcPr>
          <w:p w14:paraId="2DB6F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16E3B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3222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BA93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5F2EB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78" w:type="pct"/>
            <w:tcBorders>
              <w:top w:val="single" w:color="000000" w:sz="4" w:space="0"/>
              <w:left w:val="single" w:color="000000" w:sz="4" w:space="0"/>
              <w:bottom w:val="single" w:color="000000" w:sz="4" w:space="0"/>
              <w:right w:val="single" w:color="000000" w:sz="4" w:space="0"/>
            </w:tcBorders>
            <w:shd w:val="clear"/>
            <w:vAlign w:val="center"/>
          </w:tcPr>
          <w:p w14:paraId="043E08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vAlign w:val="center"/>
          </w:tcPr>
          <w:p w14:paraId="3F239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546D8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57552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988" w:type="pct"/>
            <w:tcBorders>
              <w:top w:val="single" w:color="000000" w:sz="4" w:space="0"/>
              <w:left w:val="single" w:color="000000" w:sz="4" w:space="0"/>
              <w:bottom w:val="single" w:color="000000" w:sz="4" w:space="0"/>
              <w:right w:val="single" w:color="000000" w:sz="4" w:space="0"/>
            </w:tcBorders>
            <w:shd w:val="clear"/>
            <w:vAlign w:val="center"/>
          </w:tcPr>
          <w:p w14:paraId="3148CC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3904E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3353" w:type="pct"/>
            <w:gridSpan w:val="8"/>
            <w:tcBorders>
              <w:top w:val="single" w:color="000000" w:sz="4" w:space="0"/>
              <w:left w:val="single" w:color="000000" w:sz="4" w:space="0"/>
              <w:bottom w:val="single" w:color="000000" w:sz="4" w:space="0"/>
              <w:right w:val="single" w:color="000000" w:sz="4" w:space="0"/>
            </w:tcBorders>
            <w:shd w:val="clear"/>
            <w:vAlign w:val="center"/>
          </w:tcPr>
          <w:p w14:paraId="06746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281" w:type="pct"/>
            <w:tcBorders>
              <w:top w:val="single" w:color="000000" w:sz="4" w:space="0"/>
              <w:left w:val="single" w:color="000000" w:sz="4" w:space="0"/>
              <w:bottom w:val="single" w:color="000000" w:sz="4" w:space="0"/>
              <w:right w:val="single" w:color="000000" w:sz="4" w:space="0"/>
            </w:tcBorders>
            <w:shd w:val="clear"/>
            <w:vAlign w:val="center"/>
          </w:tcPr>
          <w:p w14:paraId="154CC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77" w:type="pct"/>
            <w:tcBorders>
              <w:top w:val="single" w:color="000000" w:sz="4" w:space="0"/>
              <w:left w:val="single" w:color="000000" w:sz="4" w:space="0"/>
              <w:bottom w:val="single" w:color="000000" w:sz="4" w:space="0"/>
              <w:right w:val="single" w:color="000000" w:sz="4" w:space="0"/>
            </w:tcBorders>
            <w:shd w:val="clear"/>
            <w:vAlign w:val="center"/>
          </w:tcPr>
          <w:p w14:paraId="7E127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988" w:type="pct"/>
            <w:tcBorders>
              <w:top w:val="single" w:color="000000" w:sz="4" w:space="0"/>
              <w:left w:val="single" w:color="000000" w:sz="4" w:space="0"/>
              <w:bottom w:val="single" w:color="000000" w:sz="4" w:space="0"/>
              <w:right w:val="single" w:color="000000" w:sz="4" w:space="0"/>
            </w:tcBorders>
            <w:shd w:val="clear"/>
            <w:vAlign w:val="center"/>
          </w:tcPr>
          <w:p w14:paraId="4A6FF65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04DC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tcBorders>
              <w:top w:val="single" w:color="000000" w:sz="4" w:space="0"/>
              <w:left w:val="single" w:color="000000" w:sz="4" w:space="0"/>
              <w:bottom w:val="single" w:color="000000" w:sz="4" w:space="0"/>
              <w:right w:val="single" w:color="000000" w:sz="4" w:space="0"/>
            </w:tcBorders>
            <w:shd w:val="clear"/>
            <w:vAlign w:val="center"/>
          </w:tcPr>
          <w:p w14:paraId="63FDC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4624" w:type="pct"/>
            <w:gridSpan w:val="10"/>
            <w:tcBorders>
              <w:top w:val="single" w:color="000000" w:sz="4" w:space="0"/>
              <w:left w:val="single" w:color="000000" w:sz="4" w:space="0"/>
              <w:bottom w:val="single" w:color="000000" w:sz="4" w:space="0"/>
              <w:right w:val="single" w:color="000000" w:sz="4" w:space="0"/>
            </w:tcBorders>
            <w:shd w:val="clear"/>
            <w:vAlign w:val="center"/>
          </w:tcPr>
          <w:p w14:paraId="794E84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严格执行相关政策，保障工资及时，足额发放，预算编制科学合理，减少结余资金</w:t>
            </w:r>
          </w:p>
        </w:tc>
      </w:tr>
      <w:tr w14:paraId="7DF92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tcBorders>
              <w:top w:val="single" w:color="000000" w:sz="4" w:space="0"/>
              <w:left w:val="single" w:color="000000" w:sz="4" w:space="0"/>
              <w:bottom w:val="single" w:color="000000" w:sz="4" w:space="0"/>
              <w:right w:val="single" w:color="000000" w:sz="4" w:space="0"/>
            </w:tcBorders>
            <w:shd w:val="clear"/>
            <w:vAlign w:val="center"/>
          </w:tcPr>
          <w:p w14:paraId="0B13A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4624" w:type="pct"/>
            <w:gridSpan w:val="10"/>
            <w:tcBorders>
              <w:top w:val="single" w:color="000000" w:sz="4" w:space="0"/>
              <w:left w:val="single" w:color="000000" w:sz="4" w:space="0"/>
              <w:bottom w:val="single" w:color="000000" w:sz="4" w:space="0"/>
              <w:right w:val="single" w:color="000000" w:sz="4" w:space="0"/>
            </w:tcBorders>
            <w:shd w:val="clear"/>
            <w:vAlign w:val="center"/>
          </w:tcPr>
          <w:p w14:paraId="6BDEF4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E2B8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tcBorders>
              <w:top w:val="single" w:color="000000" w:sz="4" w:space="0"/>
              <w:left w:val="single" w:color="000000" w:sz="4" w:space="0"/>
              <w:bottom w:val="single" w:color="000000" w:sz="4" w:space="0"/>
              <w:right w:val="single" w:color="000000" w:sz="4" w:space="0"/>
            </w:tcBorders>
            <w:shd w:val="clear"/>
            <w:vAlign w:val="center"/>
          </w:tcPr>
          <w:p w14:paraId="2EF0B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4624" w:type="pct"/>
            <w:gridSpan w:val="10"/>
            <w:tcBorders>
              <w:top w:val="single" w:color="000000" w:sz="4" w:space="0"/>
              <w:left w:val="single" w:color="000000" w:sz="4" w:space="0"/>
              <w:bottom w:val="single" w:color="000000" w:sz="4" w:space="0"/>
              <w:right w:val="single" w:color="000000" w:sz="4" w:space="0"/>
            </w:tcBorders>
            <w:shd w:val="clear"/>
            <w:vAlign w:val="center"/>
          </w:tcPr>
          <w:p w14:paraId="71CA16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6514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1" w:type="pct"/>
            <w:gridSpan w:val="5"/>
            <w:tcBorders>
              <w:top w:val="single" w:color="000000" w:sz="4" w:space="0"/>
              <w:left w:val="single" w:color="000000" w:sz="4" w:space="0"/>
              <w:bottom w:val="single" w:color="000000" w:sz="4" w:space="0"/>
              <w:right w:val="single" w:color="000000" w:sz="4" w:space="0"/>
            </w:tcBorders>
            <w:shd w:val="clear"/>
            <w:vAlign w:val="center"/>
          </w:tcPr>
          <w:p w14:paraId="48D122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项目负责人：张颖</w:t>
            </w:r>
          </w:p>
        </w:tc>
        <w:tc>
          <w:tcPr>
            <w:tcW w:w="2878" w:type="pct"/>
            <w:gridSpan w:val="6"/>
            <w:tcBorders>
              <w:top w:val="single" w:color="000000" w:sz="4" w:space="0"/>
              <w:left w:val="single" w:color="000000" w:sz="4" w:space="0"/>
              <w:bottom w:val="single" w:color="000000" w:sz="4" w:space="0"/>
              <w:right w:val="single" w:color="000000" w:sz="4" w:space="0"/>
            </w:tcBorders>
            <w:shd w:val="clear"/>
            <w:vAlign w:val="center"/>
          </w:tcPr>
          <w:p w14:paraId="399CCF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财务负责人：冯亮</w:t>
            </w:r>
          </w:p>
        </w:tc>
      </w:tr>
    </w:tbl>
    <w:p w14:paraId="082269D1">
      <w:pPr>
        <w:spacing w:line="572" w:lineRule="exact"/>
        <w:jc w:val="left"/>
        <w:outlineLvl w:val="0"/>
        <w:rPr>
          <w:rFonts w:hint="eastAsia" w:ascii="黑体" w:hAnsi="黑体" w:eastAsia="黑体" w:cs="黑体"/>
          <w:sz w:val="32"/>
          <w:szCs w:val="32"/>
          <w:lang w:val="en-US" w:eastAsia="zh-CN"/>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137"/>
        <w:gridCol w:w="1729"/>
        <w:gridCol w:w="1028"/>
        <w:gridCol w:w="1196"/>
        <w:gridCol w:w="934"/>
        <w:gridCol w:w="1140"/>
        <w:gridCol w:w="1142"/>
        <w:gridCol w:w="1140"/>
        <w:gridCol w:w="1142"/>
        <w:gridCol w:w="772"/>
        <w:gridCol w:w="2814"/>
      </w:tblGrid>
      <w:tr w14:paraId="6DD9C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60FDF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00754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1" w:type="pct"/>
            <w:gridSpan w:val="2"/>
            <w:tcBorders>
              <w:top w:val="single" w:color="000000" w:sz="4" w:space="0"/>
              <w:left w:val="single" w:color="000000" w:sz="4" w:space="0"/>
              <w:bottom w:val="single" w:color="000000" w:sz="4" w:space="0"/>
              <w:right w:val="single" w:color="000000" w:sz="4" w:space="0"/>
            </w:tcBorders>
            <w:shd w:val="clear"/>
            <w:vAlign w:val="center"/>
          </w:tcPr>
          <w:p w14:paraId="5855EE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3988" w:type="pct"/>
            <w:gridSpan w:val="9"/>
            <w:tcBorders>
              <w:top w:val="single" w:color="000000" w:sz="4" w:space="0"/>
              <w:left w:val="single" w:color="000000" w:sz="4" w:space="0"/>
              <w:bottom w:val="single" w:color="000000" w:sz="4" w:space="0"/>
              <w:right w:val="single" w:color="000000" w:sz="4" w:space="0"/>
            </w:tcBorders>
            <w:shd w:val="clear"/>
            <w:vAlign w:val="center"/>
          </w:tcPr>
          <w:p w14:paraId="285361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51000021R000000019952-其他人员支出</w:t>
            </w:r>
          </w:p>
        </w:tc>
      </w:tr>
      <w:tr w14:paraId="60C36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11" w:type="pct"/>
            <w:gridSpan w:val="2"/>
            <w:tcBorders>
              <w:top w:val="single" w:color="000000" w:sz="4" w:space="0"/>
              <w:left w:val="single" w:color="000000" w:sz="4" w:space="0"/>
              <w:bottom w:val="single" w:color="000000" w:sz="4" w:space="0"/>
              <w:right w:val="single" w:color="000000" w:sz="4" w:space="0"/>
            </w:tcBorders>
            <w:shd w:val="clear"/>
            <w:vAlign w:val="center"/>
          </w:tcPr>
          <w:p w14:paraId="3C2DB4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1919" w:type="pct"/>
            <w:gridSpan w:val="5"/>
            <w:tcBorders>
              <w:top w:val="single" w:color="000000" w:sz="4" w:space="0"/>
              <w:left w:val="single" w:color="000000" w:sz="4" w:space="0"/>
              <w:bottom w:val="single" w:color="000000" w:sz="4" w:space="0"/>
              <w:right w:val="single" w:color="000000" w:sz="4" w:space="0"/>
            </w:tcBorders>
            <w:shd w:val="clear"/>
            <w:vAlign w:val="center"/>
          </w:tcPr>
          <w:p w14:paraId="2AF10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广元市昭化区人民检察院部门</w:t>
            </w:r>
          </w:p>
        </w:tc>
        <w:tc>
          <w:tcPr>
            <w:tcW w:w="402" w:type="pct"/>
            <w:tcBorders>
              <w:top w:val="nil"/>
              <w:left w:val="nil"/>
              <w:bottom w:val="nil"/>
              <w:right w:val="nil"/>
            </w:tcBorders>
            <w:shd w:val="clear"/>
            <w:vAlign w:val="center"/>
          </w:tcPr>
          <w:p w14:paraId="55D87E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1667" w:type="pct"/>
            <w:gridSpan w:val="3"/>
            <w:tcBorders>
              <w:top w:val="single" w:color="000000" w:sz="4" w:space="0"/>
              <w:left w:val="single" w:color="000000" w:sz="4" w:space="0"/>
              <w:bottom w:val="single" w:color="000000" w:sz="4" w:space="0"/>
              <w:right w:val="single" w:color="000000" w:sz="4" w:space="0"/>
            </w:tcBorders>
            <w:shd w:val="clear"/>
            <w:vAlign w:val="center"/>
          </w:tcPr>
          <w:p w14:paraId="2825A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w:t>
            </w:r>
          </w:p>
        </w:tc>
      </w:tr>
      <w:tr w14:paraId="23A2F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3F73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60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E8901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1919" w:type="pct"/>
            <w:gridSpan w:val="5"/>
            <w:tcBorders>
              <w:top w:val="single" w:color="000000" w:sz="4" w:space="0"/>
              <w:left w:val="single" w:color="000000" w:sz="4" w:space="0"/>
              <w:bottom w:val="single" w:color="000000" w:sz="4" w:space="0"/>
              <w:right w:val="single" w:color="000000" w:sz="4" w:space="0"/>
            </w:tcBorders>
            <w:shd w:val="clear"/>
            <w:vAlign w:val="center"/>
          </w:tcPr>
          <w:p w14:paraId="7FC6DC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2069" w:type="pct"/>
            <w:gridSpan w:val="4"/>
            <w:tcBorders>
              <w:top w:val="single" w:color="000000" w:sz="4" w:space="0"/>
              <w:left w:val="single" w:color="000000" w:sz="4" w:space="0"/>
              <w:bottom w:val="single" w:color="000000" w:sz="4" w:space="0"/>
              <w:right w:val="single" w:color="000000" w:sz="4" w:space="0"/>
            </w:tcBorders>
            <w:shd w:val="clear"/>
            <w:vAlign w:val="center"/>
          </w:tcPr>
          <w:p w14:paraId="43EC79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年度目标完成情况</w:t>
            </w:r>
          </w:p>
        </w:tc>
      </w:tr>
      <w:tr w14:paraId="7DCB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62069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0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E2BB3D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919" w:type="pct"/>
            <w:gridSpan w:val="5"/>
            <w:tcBorders>
              <w:top w:val="single" w:color="000000" w:sz="4" w:space="0"/>
              <w:left w:val="single" w:color="000000" w:sz="4" w:space="0"/>
              <w:bottom w:val="single" w:color="000000" w:sz="4" w:space="0"/>
              <w:right w:val="single" w:color="000000" w:sz="4" w:space="0"/>
            </w:tcBorders>
            <w:shd w:val="clear"/>
            <w:vAlign w:val="center"/>
          </w:tcPr>
          <w:p w14:paraId="5F427A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2069" w:type="pct"/>
            <w:gridSpan w:val="4"/>
            <w:tcBorders>
              <w:top w:val="single" w:color="000000" w:sz="4" w:space="0"/>
              <w:left w:val="single" w:color="000000" w:sz="4" w:space="0"/>
              <w:bottom w:val="single" w:color="000000" w:sz="4" w:space="0"/>
              <w:right w:val="single" w:color="000000" w:sz="4" w:space="0"/>
            </w:tcBorders>
            <w:shd w:val="clear"/>
            <w:vAlign w:val="center"/>
          </w:tcPr>
          <w:p w14:paraId="4D93C2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按时足额发放工资及缴纳社保，预算编制科学合理，减少结余资金</w:t>
            </w:r>
          </w:p>
        </w:tc>
      </w:tr>
      <w:tr w14:paraId="36FE9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6EC2C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63EA1E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3988" w:type="pct"/>
            <w:gridSpan w:val="9"/>
            <w:tcBorders>
              <w:top w:val="single" w:color="000000" w:sz="4" w:space="0"/>
              <w:left w:val="single" w:color="000000" w:sz="4" w:space="0"/>
              <w:bottom w:val="single" w:color="000000" w:sz="4" w:space="0"/>
              <w:right w:val="single" w:color="000000" w:sz="4" w:space="0"/>
            </w:tcBorders>
            <w:shd w:val="clear"/>
            <w:vAlign w:val="center"/>
          </w:tcPr>
          <w:p w14:paraId="39BEE2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每月按时发放工资，及时缴纳社保</w:t>
            </w:r>
          </w:p>
        </w:tc>
      </w:tr>
      <w:tr w14:paraId="19B68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01" w:type="pct"/>
            <w:vMerge w:val="restart"/>
            <w:tcBorders>
              <w:top w:val="single" w:color="000000" w:sz="4" w:space="0"/>
              <w:left w:val="single" w:color="000000" w:sz="4" w:space="0"/>
              <w:bottom w:val="single" w:color="000000" w:sz="4" w:space="0"/>
              <w:right w:val="single" w:color="000000" w:sz="4" w:space="0"/>
            </w:tcBorders>
            <w:shd w:val="clear"/>
            <w:vAlign w:val="center"/>
          </w:tcPr>
          <w:p w14:paraId="4E8C3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38EBE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47E0D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7D5AC1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7DEDB0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60EF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E0146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444EA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14:paraId="29B65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4DB26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5EF3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502BB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34F0B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0AF53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0.44</w:t>
            </w: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39866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0.44</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B856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90B87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6EA263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9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8B7C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60A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426E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4E45D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29A662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390C92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0.44</w:t>
            </w: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7753F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0.44</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5792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1558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2697F1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A4B1DF">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09BAF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6E16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74099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7A245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53B98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42ED9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E2C4F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EC5B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142DA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5A5ED1">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4FF5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4D14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7539B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35C610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41ED4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51534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39F0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C639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34C405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F7F6E1">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15AEA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02EE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18D9CE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07860A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136B33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34" w:type="pct"/>
            <w:gridSpan w:val="3"/>
            <w:tcBorders>
              <w:top w:val="single" w:color="000000" w:sz="4" w:space="0"/>
              <w:left w:val="single" w:color="000000" w:sz="4" w:space="0"/>
              <w:bottom w:val="single" w:color="000000" w:sz="4" w:space="0"/>
              <w:right w:val="single" w:color="000000" w:sz="4" w:space="0"/>
            </w:tcBorders>
            <w:shd w:val="clear"/>
            <w:vAlign w:val="center"/>
          </w:tcPr>
          <w:p w14:paraId="5BE542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4AC63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D67F4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05AF1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5782E3">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4EBAC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vMerge w:val="restart"/>
            <w:tcBorders>
              <w:top w:val="single" w:color="000000" w:sz="4" w:space="0"/>
              <w:left w:val="single" w:color="000000" w:sz="4" w:space="0"/>
              <w:bottom w:val="single" w:color="000000" w:sz="4" w:space="0"/>
              <w:right w:val="single" w:color="000000" w:sz="4" w:space="0"/>
            </w:tcBorders>
            <w:shd w:val="clear"/>
            <w:vAlign w:val="center"/>
          </w:tcPr>
          <w:p w14:paraId="2D680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4FCEC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3080C3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5FBC9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50A334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8D31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0202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C609A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CB22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05560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14:paraId="7E150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44F13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4A7A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076D5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14C022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51BA9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64EF4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34D2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873A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4589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8DC4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0E91C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14:paraId="1E2115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60593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0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277A5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9" w:type="pct"/>
            <w:tcBorders>
              <w:top w:val="single" w:color="000000" w:sz="4" w:space="0"/>
              <w:left w:val="single" w:color="000000" w:sz="4" w:space="0"/>
              <w:bottom w:val="single" w:color="000000" w:sz="4" w:space="0"/>
              <w:right w:val="single" w:color="000000" w:sz="4" w:space="0"/>
            </w:tcBorders>
            <w:shd w:val="clear"/>
            <w:vAlign w:val="center"/>
          </w:tcPr>
          <w:p w14:paraId="72E83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362" w:type="pct"/>
            <w:tcBorders>
              <w:top w:val="single" w:color="000000" w:sz="4" w:space="0"/>
              <w:left w:val="single" w:color="000000" w:sz="4" w:space="0"/>
              <w:bottom w:val="single" w:color="000000" w:sz="4" w:space="0"/>
              <w:right w:val="single" w:color="000000" w:sz="4" w:space="0"/>
            </w:tcBorders>
            <w:shd w:val="clear"/>
            <w:vAlign w:val="center"/>
          </w:tcPr>
          <w:p w14:paraId="017D77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421" w:type="pct"/>
            <w:tcBorders>
              <w:top w:val="single" w:color="000000" w:sz="4" w:space="0"/>
              <w:left w:val="single" w:color="000000" w:sz="4" w:space="0"/>
              <w:bottom w:val="single" w:color="000000" w:sz="4" w:space="0"/>
              <w:right w:val="single" w:color="000000" w:sz="4" w:space="0"/>
            </w:tcBorders>
            <w:shd w:val="clear"/>
            <w:vAlign w:val="center"/>
          </w:tcPr>
          <w:p w14:paraId="7050D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329" w:type="pct"/>
            <w:tcBorders>
              <w:top w:val="single" w:color="000000" w:sz="4" w:space="0"/>
              <w:left w:val="single" w:color="000000" w:sz="4" w:space="0"/>
              <w:bottom w:val="single" w:color="000000" w:sz="4" w:space="0"/>
              <w:right w:val="single" w:color="000000" w:sz="4" w:space="0"/>
            </w:tcBorders>
            <w:shd w:val="clear"/>
            <w:vAlign w:val="center"/>
          </w:tcPr>
          <w:p w14:paraId="376F4E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E94C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99A69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C2C2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44B0A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2BA45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14:paraId="31DAE1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2A89B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1" w:type="pct"/>
            <w:gridSpan w:val="2"/>
            <w:tcBorders>
              <w:top w:val="single" w:color="000000" w:sz="4" w:space="0"/>
              <w:left w:val="single" w:color="000000" w:sz="4" w:space="0"/>
              <w:bottom w:val="single" w:color="000000" w:sz="4" w:space="0"/>
              <w:right w:val="single" w:color="000000" w:sz="4" w:space="0"/>
            </w:tcBorders>
            <w:shd w:val="clear"/>
            <w:vAlign w:val="center"/>
          </w:tcPr>
          <w:p w14:paraId="34D4C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2724" w:type="pct"/>
            <w:gridSpan w:val="7"/>
            <w:tcBorders>
              <w:top w:val="single" w:color="000000" w:sz="4" w:space="0"/>
              <w:left w:val="single" w:color="000000" w:sz="4" w:space="0"/>
              <w:bottom w:val="single" w:color="000000" w:sz="4" w:space="0"/>
              <w:right w:val="single" w:color="000000" w:sz="4" w:space="0"/>
            </w:tcBorders>
            <w:shd w:val="clear"/>
            <w:vAlign w:val="center"/>
          </w:tcPr>
          <w:p w14:paraId="28B6C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vAlign w:val="center"/>
          </w:tcPr>
          <w:p w14:paraId="15DBB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14:paraId="22FEDA1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AD12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shd w:val="clear"/>
            <w:vAlign w:val="center"/>
          </w:tcPr>
          <w:p w14:paraId="3D389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4598" w:type="pct"/>
            <w:gridSpan w:val="10"/>
            <w:tcBorders>
              <w:top w:val="single" w:color="000000" w:sz="4" w:space="0"/>
              <w:left w:val="single" w:color="000000" w:sz="4" w:space="0"/>
              <w:bottom w:val="single" w:color="000000" w:sz="4" w:space="0"/>
              <w:right w:val="single" w:color="000000" w:sz="4" w:space="0"/>
            </w:tcBorders>
            <w:shd w:val="clear"/>
            <w:vAlign w:val="center"/>
          </w:tcPr>
          <w:p w14:paraId="1C18B6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严格执行相关政策，保障工资及时，足额发放，预算编制科学合理，减少结余资金</w:t>
            </w:r>
          </w:p>
        </w:tc>
      </w:tr>
      <w:tr w14:paraId="44C52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shd w:val="clear"/>
            <w:vAlign w:val="center"/>
          </w:tcPr>
          <w:p w14:paraId="228F0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4598" w:type="pct"/>
            <w:gridSpan w:val="10"/>
            <w:tcBorders>
              <w:top w:val="single" w:color="000000" w:sz="4" w:space="0"/>
              <w:left w:val="single" w:color="000000" w:sz="4" w:space="0"/>
              <w:bottom w:val="single" w:color="000000" w:sz="4" w:space="0"/>
              <w:right w:val="single" w:color="000000" w:sz="4" w:space="0"/>
            </w:tcBorders>
            <w:shd w:val="clear"/>
            <w:vAlign w:val="center"/>
          </w:tcPr>
          <w:p w14:paraId="7286E3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1C1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shd w:val="clear"/>
            <w:vAlign w:val="center"/>
          </w:tcPr>
          <w:p w14:paraId="52D75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4598" w:type="pct"/>
            <w:gridSpan w:val="10"/>
            <w:tcBorders>
              <w:top w:val="single" w:color="000000" w:sz="4" w:space="0"/>
              <w:left w:val="single" w:color="000000" w:sz="4" w:space="0"/>
              <w:bottom w:val="single" w:color="000000" w:sz="4" w:space="0"/>
              <w:right w:val="single" w:color="000000" w:sz="4" w:space="0"/>
            </w:tcBorders>
            <w:shd w:val="clear"/>
            <w:vAlign w:val="center"/>
          </w:tcPr>
          <w:p w14:paraId="59BE89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7664C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5" w:type="pct"/>
            <w:gridSpan w:val="5"/>
            <w:tcBorders>
              <w:top w:val="single" w:color="000000" w:sz="4" w:space="0"/>
              <w:left w:val="single" w:color="000000" w:sz="4" w:space="0"/>
              <w:bottom w:val="single" w:color="000000" w:sz="4" w:space="0"/>
              <w:right w:val="single" w:color="000000" w:sz="4" w:space="0"/>
            </w:tcBorders>
            <w:shd w:val="clear"/>
            <w:vAlign w:val="center"/>
          </w:tcPr>
          <w:p w14:paraId="5B63C9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项目负责人：张颖</w:t>
            </w:r>
          </w:p>
        </w:tc>
        <w:tc>
          <w:tcPr>
            <w:tcW w:w="2874" w:type="pct"/>
            <w:gridSpan w:val="6"/>
            <w:tcBorders>
              <w:top w:val="single" w:color="000000" w:sz="4" w:space="0"/>
              <w:left w:val="single" w:color="000000" w:sz="4" w:space="0"/>
              <w:bottom w:val="single" w:color="000000" w:sz="4" w:space="0"/>
              <w:right w:val="single" w:color="000000" w:sz="4" w:space="0"/>
            </w:tcBorders>
            <w:shd w:val="clear"/>
            <w:vAlign w:val="center"/>
          </w:tcPr>
          <w:p w14:paraId="4F9D51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财务负责人：冯亮</w:t>
            </w:r>
          </w:p>
        </w:tc>
      </w:tr>
    </w:tbl>
    <w:p w14:paraId="2014FF4C">
      <w:pPr>
        <w:pStyle w:val="5"/>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95"/>
        <w:gridCol w:w="1868"/>
        <w:gridCol w:w="970"/>
        <w:gridCol w:w="2276"/>
        <w:gridCol w:w="981"/>
        <w:gridCol w:w="862"/>
        <w:gridCol w:w="819"/>
        <w:gridCol w:w="1040"/>
        <w:gridCol w:w="621"/>
        <w:gridCol w:w="791"/>
        <w:gridCol w:w="2951"/>
      </w:tblGrid>
      <w:tr w14:paraId="67E52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1613B4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黑体" w:hAnsi="黑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3B361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0" w:type="pct"/>
            <w:gridSpan w:val="2"/>
            <w:tcBorders>
              <w:top w:val="single" w:color="000000" w:sz="4" w:space="0"/>
              <w:left w:val="single" w:color="000000" w:sz="4" w:space="0"/>
              <w:bottom w:val="single" w:color="000000" w:sz="4" w:space="0"/>
              <w:right w:val="single" w:color="000000" w:sz="4" w:space="0"/>
            </w:tcBorders>
            <w:shd w:val="clear"/>
            <w:vAlign w:val="center"/>
          </w:tcPr>
          <w:p w14:paraId="34DA0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项目名称</w:t>
            </w:r>
          </w:p>
        </w:tc>
        <w:tc>
          <w:tcPr>
            <w:tcW w:w="3989" w:type="pct"/>
            <w:gridSpan w:val="9"/>
            <w:tcBorders>
              <w:top w:val="single" w:color="000000" w:sz="4" w:space="0"/>
              <w:left w:val="single" w:color="000000" w:sz="4" w:space="0"/>
              <w:bottom w:val="single" w:color="000000" w:sz="4" w:space="0"/>
              <w:right w:val="single" w:color="000000" w:sz="4" w:space="0"/>
            </w:tcBorders>
            <w:shd w:val="clear"/>
            <w:vAlign w:val="center"/>
          </w:tcPr>
          <w:p w14:paraId="6681D3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51000021Y000000011490-日常公用经费</w:t>
            </w:r>
          </w:p>
        </w:tc>
      </w:tr>
      <w:tr w14:paraId="3077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10" w:type="pct"/>
            <w:gridSpan w:val="2"/>
            <w:tcBorders>
              <w:top w:val="single" w:color="000000" w:sz="4" w:space="0"/>
              <w:left w:val="single" w:color="000000" w:sz="4" w:space="0"/>
              <w:bottom w:val="single" w:color="000000" w:sz="4" w:space="0"/>
              <w:right w:val="single" w:color="000000" w:sz="4" w:space="0"/>
            </w:tcBorders>
            <w:shd w:val="clear"/>
            <w:vAlign w:val="center"/>
          </w:tcPr>
          <w:p w14:paraId="53BEE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主管部门</w:t>
            </w:r>
          </w:p>
        </w:tc>
        <w:tc>
          <w:tcPr>
            <w:tcW w:w="2084" w:type="pct"/>
            <w:gridSpan w:val="5"/>
            <w:tcBorders>
              <w:top w:val="single" w:color="000000" w:sz="4" w:space="0"/>
              <w:left w:val="single" w:color="000000" w:sz="4" w:space="0"/>
              <w:bottom w:val="single" w:color="000000" w:sz="4" w:space="0"/>
              <w:right w:val="single" w:color="000000" w:sz="4" w:space="0"/>
            </w:tcBorders>
            <w:shd w:val="clear"/>
            <w:vAlign w:val="center"/>
          </w:tcPr>
          <w:p w14:paraId="24504C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广元市昭化区人民检察院部门</w:t>
            </w:r>
          </w:p>
        </w:tc>
        <w:tc>
          <w:tcPr>
            <w:tcW w:w="365" w:type="pct"/>
            <w:tcBorders>
              <w:top w:val="nil"/>
              <w:left w:val="nil"/>
              <w:bottom w:val="nil"/>
              <w:right w:val="nil"/>
            </w:tcBorders>
            <w:shd w:val="clear"/>
            <w:vAlign w:val="center"/>
          </w:tcPr>
          <w:p w14:paraId="1C090D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实施单位 （盖章）</w:t>
            </w:r>
          </w:p>
        </w:tc>
        <w:tc>
          <w:tcPr>
            <w:tcW w:w="1539" w:type="pct"/>
            <w:gridSpan w:val="3"/>
            <w:tcBorders>
              <w:top w:val="single" w:color="000000" w:sz="4" w:space="0"/>
              <w:left w:val="single" w:color="000000" w:sz="4" w:space="0"/>
              <w:bottom w:val="single" w:color="000000" w:sz="4" w:space="0"/>
              <w:right w:val="single" w:color="000000" w:sz="4" w:space="0"/>
            </w:tcBorders>
            <w:shd w:val="clear"/>
            <w:vAlign w:val="center"/>
          </w:tcPr>
          <w:p w14:paraId="6B428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w:t>
            </w:r>
          </w:p>
        </w:tc>
      </w:tr>
      <w:tr w14:paraId="57005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restart"/>
            <w:tcBorders>
              <w:top w:val="single" w:color="000000" w:sz="4" w:space="0"/>
              <w:left w:val="single" w:color="000000" w:sz="4" w:space="0"/>
              <w:bottom w:val="single" w:color="000000" w:sz="4" w:space="0"/>
              <w:right w:val="single" w:color="000000" w:sz="4" w:space="0"/>
            </w:tcBorders>
            <w:shd w:val="clear"/>
            <w:vAlign w:val="center"/>
          </w:tcPr>
          <w:p w14:paraId="78CC71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项目基本情况</w:t>
            </w:r>
          </w:p>
        </w:tc>
        <w:tc>
          <w:tcPr>
            <w:tcW w:w="65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04566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1.项目年度目标完成情况</w:t>
            </w:r>
          </w:p>
        </w:tc>
        <w:tc>
          <w:tcPr>
            <w:tcW w:w="2084" w:type="pct"/>
            <w:gridSpan w:val="5"/>
            <w:tcBorders>
              <w:top w:val="single" w:color="000000" w:sz="4" w:space="0"/>
              <w:left w:val="single" w:color="000000" w:sz="4" w:space="0"/>
              <w:bottom w:val="single" w:color="000000" w:sz="4" w:space="0"/>
              <w:right w:val="single" w:color="000000" w:sz="4" w:space="0"/>
            </w:tcBorders>
            <w:shd w:val="clear"/>
            <w:vAlign w:val="center"/>
          </w:tcPr>
          <w:p w14:paraId="4F153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项目年度目标</w:t>
            </w:r>
          </w:p>
        </w:tc>
        <w:tc>
          <w:tcPr>
            <w:tcW w:w="1905" w:type="pct"/>
            <w:gridSpan w:val="4"/>
            <w:tcBorders>
              <w:top w:val="single" w:color="000000" w:sz="4" w:space="0"/>
              <w:left w:val="single" w:color="000000" w:sz="4" w:space="0"/>
              <w:bottom w:val="single" w:color="000000" w:sz="4" w:space="0"/>
              <w:right w:val="single" w:color="000000" w:sz="4" w:space="0"/>
            </w:tcBorders>
            <w:shd w:val="clear"/>
            <w:vAlign w:val="center"/>
          </w:tcPr>
          <w:p w14:paraId="769F9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年度目标完成情况</w:t>
            </w:r>
          </w:p>
        </w:tc>
      </w:tr>
      <w:tr w14:paraId="153F1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2E9AF6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A1C3A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2084" w:type="pct"/>
            <w:gridSpan w:val="5"/>
            <w:tcBorders>
              <w:top w:val="single" w:color="000000" w:sz="4" w:space="0"/>
              <w:left w:val="single" w:color="000000" w:sz="4" w:space="0"/>
              <w:bottom w:val="single" w:color="000000" w:sz="4" w:space="0"/>
              <w:right w:val="single" w:color="000000" w:sz="4" w:space="0"/>
            </w:tcBorders>
            <w:shd w:val="clear"/>
            <w:vAlign w:val="center"/>
          </w:tcPr>
          <w:p w14:paraId="1986F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提高预算编制质量，严格执行预算，保障单位日常运转</w:t>
            </w:r>
          </w:p>
        </w:tc>
        <w:tc>
          <w:tcPr>
            <w:tcW w:w="1905" w:type="pct"/>
            <w:gridSpan w:val="4"/>
            <w:tcBorders>
              <w:top w:val="single" w:color="000000" w:sz="4" w:space="0"/>
              <w:left w:val="single" w:color="000000" w:sz="4" w:space="0"/>
              <w:bottom w:val="single" w:color="000000" w:sz="4" w:space="0"/>
              <w:right w:val="single" w:color="000000" w:sz="4" w:space="0"/>
            </w:tcBorders>
            <w:shd w:val="clear"/>
            <w:vAlign w:val="center"/>
          </w:tcPr>
          <w:p w14:paraId="6FD4E4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严格执行预算，保障单位日常费用支出</w:t>
            </w:r>
          </w:p>
        </w:tc>
      </w:tr>
      <w:tr w14:paraId="2525D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EC4B1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1A427D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2.项目实施内容及过程概述</w:t>
            </w:r>
          </w:p>
        </w:tc>
        <w:tc>
          <w:tcPr>
            <w:tcW w:w="3989" w:type="pct"/>
            <w:gridSpan w:val="9"/>
            <w:tcBorders>
              <w:top w:val="single" w:color="000000" w:sz="4" w:space="0"/>
              <w:left w:val="single" w:color="000000" w:sz="4" w:space="0"/>
              <w:bottom w:val="single" w:color="000000" w:sz="4" w:space="0"/>
              <w:right w:val="single" w:color="000000" w:sz="4" w:space="0"/>
            </w:tcBorders>
            <w:shd w:val="clear"/>
            <w:vAlign w:val="center"/>
          </w:tcPr>
          <w:p w14:paraId="704F8C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每月严格执行预算，保障单位日常运转</w:t>
            </w:r>
          </w:p>
        </w:tc>
      </w:tr>
      <w:tr w14:paraId="4C3A0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51" w:type="pct"/>
            <w:vMerge w:val="restart"/>
            <w:tcBorders>
              <w:top w:val="single" w:color="000000" w:sz="4" w:space="0"/>
              <w:left w:val="single" w:color="000000" w:sz="4" w:space="0"/>
              <w:bottom w:val="single" w:color="000000" w:sz="4" w:space="0"/>
              <w:right w:val="single" w:color="000000" w:sz="4" w:space="0"/>
            </w:tcBorders>
            <w:shd w:val="clear"/>
            <w:vAlign w:val="center"/>
          </w:tcPr>
          <w:p w14:paraId="4290F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预算执行情况（10分）</w:t>
            </w: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6857C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年度预算数（万元）</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2D0EA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年初预算</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4B5CDF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调整后预算数</w:t>
            </w: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117D0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预算执行数</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4CC7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预算执行率</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7A71E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284D9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58ED29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原因</w:t>
            </w:r>
          </w:p>
        </w:tc>
      </w:tr>
      <w:tr w14:paraId="504A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29DA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57BBE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总额</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56A78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69.93</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5A81C1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79.93</w:t>
            </w: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6F22E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79.93</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D685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99.99%</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4DEB2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652C56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040" w:type="pct"/>
            <w:vMerge w:val="restart"/>
            <w:tcBorders>
              <w:top w:val="single" w:color="000000" w:sz="4" w:space="0"/>
              <w:left w:val="single" w:color="000000" w:sz="4" w:space="0"/>
              <w:bottom w:val="single" w:color="000000" w:sz="4" w:space="0"/>
              <w:right w:val="single" w:color="000000" w:sz="4" w:space="0"/>
            </w:tcBorders>
            <w:shd w:val="clear"/>
            <w:vAlign w:val="center"/>
          </w:tcPr>
          <w:p w14:paraId="77F43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7B6C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EF95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07CC8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其中：财政资金</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27446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69.93</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53421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79.93</w:t>
            </w: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3414CD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79.93</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283C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99.99%</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72469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2A577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4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6BE433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26887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2D9F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6F6EE2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财政专户管理资金</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4CE2B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10C4B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1246B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E894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00D6B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627BA1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4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B82282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5958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40DA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4ACE4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单位资金</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13FC97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19784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592660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BA12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60CB7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45840D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4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CC714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29BF0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071F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39006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其他资金</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23360B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75BE9A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937" w:type="pct"/>
            <w:gridSpan w:val="3"/>
            <w:tcBorders>
              <w:top w:val="single" w:color="000000" w:sz="4" w:space="0"/>
              <w:left w:val="single" w:color="000000" w:sz="4" w:space="0"/>
              <w:bottom w:val="single" w:color="000000" w:sz="4" w:space="0"/>
              <w:right w:val="single" w:color="000000" w:sz="4" w:space="0"/>
            </w:tcBorders>
            <w:shd w:val="clear"/>
            <w:vAlign w:val="center"/>
          </w:tcPr>
          <w:p w14:paraId="06D313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25A29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4EEA4D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5BF78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4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1FE16B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5312E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restart"/>
            <w:tcBorders>
              <w:top w:val="single" w:color="000000" w:sz="4" w:space="0"/>
              <w:left w:val="single" w:color="000000" w:sz="4" w:space="0"/>
              <w:bottom w:val="single" w:color="000000" w:sz="4" w:space="0"/>
              <w:right w:val="single" w:color="000000" w:sz="4" w:space="0"/>
            </w:tcBorders>
            <w:shd w:val="clear"/>
            <w:vAlign w:val="center"/>
          </w:tcPr>
          <w:p w14:paraId="521CF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绩效指标（90分）</w:t>
            </w:r>
          </w:p>
        </w:tc>
        <w:tc>
          <w:tcPr>
            <w:tcW w:w="658" w:type="pct"/>
            <w:tcBorders>
              <w:top w:val="single" w:color="000000" w:sz="4" w:space="0"/>
              <w:left w:val="single" w:color="000000" w:sz="4" w:space="0"/>
              <w:bottom w:val="single" w:color="000000" w:sz="4" w:space="0"/>
              <w:right w:val="single" w:color="000000" w:sz="4" w:space="0"/>
            </w:tcBorders>
            <w:shd w:val="clear"/>
            <w:vAlign w:val="center"/>
          </w:tcPr>
          <w:p w14:paraId="1EC640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一级指标</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3E15C7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二级指标</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667E8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三级指标</w:t>
            </w:r>
          </w:p>
        </w:tc>
        <w:tc>
          <w:tcPr>
            <w:tcW w:w="344" w:type="pct"/>
            <w:tcBorders>
              <w:top w:val="single" w:color="000000" w:sz="4" w:space="0"/>
              <w:left w:val="single" w:color="000000" w:sz="4" w:space="0"/>
              <w:bottom w:val="single" w:color="000000" w:sz="4" w:space="0"/>
              <w:right w:val="single" w:color="000000" w:sz="4" w:space="0"/>
            </w:tcBorders>
            <w:shd w:val="clear"/>
            <w:vAlign w:val="center"/>
          </w:tcPr>
          <w:p w14:paraId="1C421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指标性质</w:t>
            </w:r>
          </w:p>
        </w:tc>
        <w:tc>
          <w:tcPr>
            <w:tcW w:w="304" w:type="pct"/>
            <w:tcBorders>
              <w:top w:val="single" w:color="000000" w:sz="4" w:space="0"/>
              <w:left w:val="single" w:color="000000" w:sz="4" w:space="0"/>
              <w:bottom w:val="single" w:color="000000" w:sz="4" w:space="0"/>
              <w:right w:val="single" w:color="000000" w:sz="4" w:space="0"/>
            </w:tcBorders>
            <w:shd w:val="clear"/>
            <w:vAlign w:val="center"/>
          </w:tcPr>
          <w:p w14:paraId="0577B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指标值</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396F7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度量单位</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E47C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完成值</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045CC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2885E7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782A9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未完成原因分析</w:t>
            </w:r>
          </w:p>
        </w:tc>
      </w:tr>
      <w:tr w14:paraId="787BB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5572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C20A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6988C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4C6EE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科目调整次数</w:t>
            </w:r>
          </w:p>
        </w:tc>
        <w:tc>
          <w:tcPr>
            <w:tcW w:w="344" w:type="pct"/>
            <w:tcBorders>
              <w:top w:val="single" w:color="000000" w:sz="4" w:space="0"/>
              <w:left w:val="single" w:color="000000" w:sz="4" w:space="0"/>
              <w:bottom w:val="single" w:color="000000" w:sz="4" w:space="0"/>
              <w:right w:val="single" w:color="000000" w:sz="4" w:space="0"/>
            </w:tcBorders>
            <w:shd w:val="clear"/>
            <w:vAlign w:val="center"/>
          </w:tcPr>
          <w:p w14:paraId="195B0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vAlign w:val="center"/>
          </w:tcPr>
          <w:p w14:paraId="072FAD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526D2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次</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CED6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51A01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79C9F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0EF7C7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6A0CB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576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D739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10AF43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质量指标</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003C7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预算编制准确率（计算方法为：∣（执行数-预算数）/预算数∣）</w:t>
            </w:r>
          </w:p>
        </w:tc>
        <w:tc>
          <w:tcPr>
            <w:tcW w:w="344" w:type="pct"/>
            <w:tcBorders>
              <w:top w:val="single" w:color="000000" w:sz="4" w:space="0"/>
              <w:left w:val="single" w:color="000000" w:sz="4" w:space="0"/>
              <w:bottom w:val="single" w:color="000000" w:sz="4" w:space="0"/>
              <w:right w:val="single" w:color="000000" w:sz="4" w:space="0"/>
            </w:tcBorders>
            <w:shd w:val="clear"/>
            <w:vAlign w:val="center"/>
          </w:tcPr>
          <w:p w14:paraId="53649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vAlign w:val="center"/>
          </w:tcPr>
          <w:p w14:paraId="3D06D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07AA4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5205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641CB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09B25C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232A22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43CB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60620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4849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效益指标</w:t>
            </w: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22C840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经济效益指标</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1C881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“三公经费”控制率[计算方法为：（三公经费实际支出数/预算安排数]×100%）</w:t>
            </w:r>
          </w:p>
        </w:tc>
        <w:tc>
          <w:tcPr>
            <w:tcW w:w="344" w:type="pct"/>
            <w:tcBorders>
              <w:top w:val="single" w:color="000000" w:sz="4" w:space="0"/>
              <w:left w:val="single" w:color="000000" w:sz="4" w:space="0"/>
              <w:bottom w:val="single" w:color="000000" w:sz="4" w:space="0"/>
              <w:right w:val="single" w:color="000000" w:sz="4" w:space="0"/>
            </w:tcBorders>
            <w:shd w:val="clear"/>
            <w:vAlign w:val="center"/>
          </w:tcPr>
          <w:p w14:paraId="455165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vAlign w:val="center"/>
          </w:tcPr>
          <w:p w14:paraId="1BFF2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00AF45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D9D9F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28CA6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3CC74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3E3F58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0FFBC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E41B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987C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42" w:type="pct"/>
            <w:tcBorders>
              <w:top w:val="single" w:color="000000" w:sz="4" w:space="0"/>
              <w:left w:val="single" w:color="000000" w:sz="4" w:space="0"/>
              <w:bottom w:val="single" w:color="000000" w:sz="4" w:space="0"/>
              <w:right w:val="single" w:color="000000" w:sz="4" w:space="0"/>
            </w:tcBorders>
            <w:shd w:val="clear"/>
            <w:vAlign w:val="center"/>
          </w:tcPr>
          <w:p w14:paraId="7D8CE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社会效益指标</w:t>
            </w:r>
          </w:p>
        </w:tc>
        <w:tc>
          <w:tcPr>
            <w:tcW w:w="803" w:type="pct"/>
            <w:tcBorders>
              <w:top w:val="single" w:color="000000" w:sz="4" w:space="0"/>
              <w:left w:val="single" w:color="000000" w:sz="4" w:space="0"/>
              <w:bottom w:val="single" w:color="000000" w:sz="4" w:space="0"/>
              <w:right w:val="single" w:color="000000" w:sz="4" w:space="0"/>
            </w:tcBorders>
            <w:shd w:val="clear"/>
            <w:vAlign w:val="center"/>
          </w:tcPr>
          <w:p w14:paraId="7C969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运转保障率</w:t>
            </w:r>
          </w:p>
        </w:tc>
        <w:tc>
          <w:tcPr>
            <w:tcW w:w="344" w:type="pct"/>
            <w:tcBorders>
              <w:top w:val="single" w:color="000000" w:sz="4" w:space="0"/>
              <w:left w:val="single" w:color="000000" w:sz="4" w:space="0"/>
              <w:bottom w:val="single" w:color="000000" w:sz="4" w:space="0"/>
              <w:right w:val="single" w:color="000000" w:sz="4" w:space="0"/>
            </w:tcBorders>
            <w:shd w:val="clear"/>
            <w:vAlign w:val="center"/>
          </w:tcPr>
          <w:p w14:paraId="03A99B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vAlign w:val="center"/>
          </w:tcPr>
          <w:p w14:paraId="3C53D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777CD3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5041C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4DCCB6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6D45A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5B315D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127FC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460" w:type="pct"/>
            <w:gridSpan w:val="8"/>
            <w:tcBorders>
              <w:top w:val="single" w:color="000000" w:sz="4" w:space="0"/>
              <w:left w:val="single" w:color="000000" w:sz="4" w:space="0"/>
              <w:bottom w:val="single" w:color="000000" w:sz="4" w:space="0"/>
              <w:right w:val="single" w:color="000000" w:sz="4" w:space="0"/>
            </w:tcBorders>
            <w:shd w:val="clear"/>
            <w:vAlign w:val="center"/>
          </w:tcPr>
          <w:p w14:paraId="7ACAE6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合计</w:t>
            </w:r>
          </w:p>
        </w:tc>
        <w:tc>
          <w:tcPr>
            <w:tcW w:w="219" w:type="pct"/>
            <w:tcBorders>
              <w:top w:val="single" w:color="000000" w:sz="4" w:space="0"/>
              <w:left w:val="single" w:color="000000" w:sz="4" w:space="0"/>
              <w:bottom w:val="single" w:color="000000" w:sz="4" w:space="0"/>
              <w:right w:val="single" w:color="000000" w:sz="4" w:space="0"/>
            </w:tcBorders>
            <w:shd w:val="clear"/>
            <w:vAlign w:val="center"/>
          </w:tcPr>
          <w:p w14:paraId="3E567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279" w:type="pct"/>
            <w:tcBorders>
              <w:top w:val="single" w:color="000000" w:sz="4" w:space="0"/>
              <w:left w:val="single" w:color="000000" w:sz="4" w:space="0"/>
              <w:bottom w:val="single" w:color="000000" w:sz="4" w:space="0"/>
              <w:right w:val="single" w:color="000000" w:sz="4" w:space="0"/>
            </w:tcBorders>
            <w:shd w:val="clear"/>
            <w:vAlign w:val="center"/>
          </w:tcPr>
          <w:p w14:paraId="38A92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1040" w:type="pct"/>
            <w:tcBorders>
              <w:top w:val="single" w:color="000000" w:sz="4" w:space="0"/>
              <w:left w:val="single" w:color="000000" w:sz="4" w:space="0"/>
              <w:bottom w:val="single" w:color="000000" w:sz="4" w:space="0"/>
              <w:right w:val="single" w:color="000000" w:sz="4" w:space="0"/>
            </w:tcBorders>
            <w:shd w:val="clear"/>
            <w:vAlign w:val="center"/>
          </w:tcPr>
          <w:p w14:paraId="43ADEA2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1E6EA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vAlign w:val="center"/>
          </w:tcPr>
          <w:p w14:paraId="025DB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评价结论</w:t>
            </w:r>
          </w:p>
        </w:tc>
        <w:tc>
          <w:tcPr>
            <w:tcW w:w="4648" w:type="pct"/>
            <w:gridSpan w:val="10"/>
            <w:tcBorders>
              <w:top w:val="single" w:color="000000" w:sz="4" w:space="0"/>
              <w:left w:val="single" w:color="000000" w:sz="4" w:space="0"/>
              <w:bottom w:val="single" w:color="000000" w:sz="4" w:space="0"/>
              <w:right w:val="single" w:color="000000" w:sz="4" w:space="0"/>
            </w:tcBorders>
            <w:shd w:val="clear"/>
            <w:vAlign w:val="center"/>
          </w:tcPr>
          <w:p w14:paraId="39C404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每月严格执行预算，保障单位日常运转</w:t>
            </w:r>
          </w:p>
        </w:tc>
      </w:tr>
      <w:tr w14:paraId="2CB67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vAlign w:val="center"/>
          </w:tcPr>
          <w:p w14:paraId="7B7DED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存在问题</w:t>
            </w:r>
          </w:p>
        </w:tc>
        <w:tc>
          <w:tcPr>
            <w:tcW w:w="4648" w:type="pct"/>
            <w:gridSpan w:val="10"/>
            <w:tcBorders>
              <w:top w:val="single" w:color="000000" w:sz="4" w:space="0"/>
              <w:left w:val="single" w:color="000000" w:sz="4" w:space="0"/>
              <w:bottom w:val="single" w:color="000000" w:sz="4" w:space="0"/>
              <w:right w:val="single" w:color="000000" w:sz="4" w:space="0"/>
            </w:tcBorders>
            <w:shd w:val="clear"/>
            <w:vAlign w:val="center"/>
          </w:tcPr>
          <w:p w14:paraId="00F134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2780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vAlign w:val="center"/>
          </w:tcPr>
          <w:p w14:paraId="40CBF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改进措施</w:t>
            </w:r>
          </w:p>
        </w:tc>
        <w:tc>
          <w:tcPr>
            <w:tcW w:w="4648" w:type="pct"/>
            <w:gridSpan w:val="10"/>
            <w:tcBorders>
              <w:top w:val="single" w:color="000000" w:sz="4" w:space="0"/>
              <w:left w:val="single" w:color="000000" w:sz="4" w:space="0"/>
              <w:bottom w:val="single" w:color="000000" w:sz="4" w:space="0"/>
              <w:right w:val="single" w:color="000000" w:sz="4" w:space="0"/>
            </w:tcBorders>
            <w:shd w:val="clear"/>
            <w:vAlign w:val="center"/>
          </w:tcPr>
          <w:p w14:paraId="40FAC6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259DD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01" w:type="pct"/>
            <w:gridSpan w:val="5"/>
            <w:tcBorders>
              <w:top w:val="single" w:color="000000" w:sz="4" w:space="0"/>
              <w:left w:val="single" w:color="000000" w:sz="4" w:space="0"/>
              <w:bottom w:val="single" w:color="000000" w:sz="4" w:space="0"/>
              <w:right w:val="single" w:color="000000" w:sz="4" w:space="0"/>
            </w:tcBorders>
            <w:shd w:val="clear"/>
            <w:vAlign w:val="center"/>
          </w:tcPr>
          <w:p w14:paraId="393951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项目负责人：张颖</w:t>
            </w:r>
          </w:p>
        </w:tc>
        <w:tc>
          <w:tcPr>
            <w:tcW w:w="2498" w:type="pct"/>
            <w:gridSpan w:val="6"/>
            <w:tcBorders>
              <w:top w:val="single" w:color="000000" w:sz="4" w:space="0"/>
              <w:left w:val="single" w:color="000000" w:sz="4" w:space="0"/>
              <w:bottom w:val="single" w:color="000000" w:sz="4" w:space="0"/>
              <w:right w:val="single" w:color="000000" w:sz="4" w:space="0"/>
            </w:tcBorders>
            <w:shd w:val="clear"/>
            <w:vAlign w:val="center"/>
          </w:tcPr>
          <w:p w14:paraId="60175E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财务负责人：冯亮</w:t>
            </w:r>
          </w:p>
        </w:tc>
      </w:tr>
    </w:tbl>
    <w:p w14:paraId="601F7DC7">
      <w:pPr>
        <w:pStyle w:val="5"/>
        <w:rPr>
          <w:rFonts w:hint="eastAsia" w:ascii="宋体" w:hAnsi="宋体" w:eastAsia="宋体" w:cs="宋体"/>
          <w:sz w:val="15"/>
          <w:szCs w:val="15"/>
        </w:rPr>
        <w:sectPr>
          <w:pgSz w:w="16838" w:h="11906" w:orient="landscape"/>
          <w:pgMar w:top="1800" w:right="1440" w:bottom="1800" w:left="1440" w:header="720" w:footer="720" w:gutter="0"/>
          <w:pgNumType w:fmt="numberInDash"/>
          <w:cols w:space="720" w:num="1"/>
          <w:docGrid w:type="lines" w:linePitch="312" w:charSpace="0"/>
        </w:sectPr>
      </w:pPr>
    </w:p>
    <w:tbl>
      <w:tblPr>
        <w:tblW w:w="49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31"/>
        <w:gridCol w:w="1445"/>
        <w:gridCol w:w="1042"/>
        <w:gridCol w:w="1835"/>
        <w:gridCol w:w="881"/>
        <w:gridCol w:w="714"/>
        <w:gridCol w:w="917"/>
        <w:gridCol w:w="1073"/>
        <w:gridCol w:w="1045"/>
        <w:gridCol w:w="1046"/>
        <w:gridCol w:w="2870"/>
      </w:tblGrid>
      <w:tr w14:paraId="21F0C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5"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26B3929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15"/>
                <w:szCs w:val="15"/>
                <w:u w:val="none"/>
              </w:rPr>
            </w:pPr>
            <w:r>
              <w:rPr>
                <w:rFonts w:hint="eastAsia" w:ascii="黑体" w:hAnsi="黑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45DB1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891" w:type="pct"/>
            <w:gridSpan w:val="2"/>
            <w:tcBorders>
              <w:top w:val="single" w:color="000000" w:sz="4" w:space="0"/>
              <w:left w:val="single" w:color="000000" w:sz="4" w:space="0"/>
              <w:bottom w:val="single" w:color="000000" w:sz="4" w:space="0"/>
              <w:right w:val="single" w:color="000000" w:sz="4" w:space="0"/>
            </w:tcBorders>
            <w:shd w:val="clear"/>
            <w:vAlign w:val="center"/>
          </w:tcPr>
          <w:p w14:paraId="189C57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项目名称</w:t>
            </w:r>
          </w:p>
        </w:tc>
        <w:tc>
          <w:tcPr>
            <w:tcW w:w="4108" w:type="pct"/>
            <w:gridSpan w:val="9"/>
            <w:tcBorders>
              <w:top w:val="single" w:color="000000" w:sz="4" w:space="0"/>
              <w:left w:val="single" w:color="000000" w:sz="4" w:space="0"/>
              <w:bottom w:val="single" w:color="000000" w:sz="4" w:space="0"/>
              <w:right w:val="single" w:color="000000" w:sz="4" w:space="0"/>
            </w:tcBorders>
            <w:shd w:val="clear"/>
            <w:vAlign w:val="center"/>
          </w:tcPr>
          <w:p w14:paraId="71DC7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51080021Y000000176770-其他公用经费（福利、工会、公车补贴、党建、退休活动）</w:t>
            </w:r>
          </w:p>
        </w:tc>
      </w:tr>
      <w:tr w14:paraId="53FE6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91" w:type="pct"/>
            <w:gridSpan w:val="2"/>
            <w:tcBorders>
              <w:top w:val="single" w:color="000000" w:sz="4" w:space="0"/>
              <w:left w:val="single" w:color="000000" w:sz="4" w:space="0"/>
              <w:bottom w:val="single" w:color="000000" w:sz="4" w:space="0"/>
              <w:right w:val="single" w:color="000000" w:sz="4" w:space="0"/>
            </w:tcBorders>
            <w:shd w:val="clear"/>
            <w:vAlign w:val="center"/>
          </w:tcPr>
          <w:p w14:paraId="7F61F1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主管部门</w:t>
            </w:r>
          </w:p>
        </w:tc>
        <w:tc>
          <w:tcPr>
            <w:tcW w:w="1939" w:type="pct"/>
            <w:gridSpan w:val="5"/>
            <w:tcBorders>
              <w:top w:val="single" w:color="000000" w:sz="4" w:space="0"/>
              <w:left w:val="single" w:color="000000" w:sz="4" w:space="0"/>
              <w:bottom w:val="single" w:color="000000" w:sz="4" w:space="0"/>
              <w:right w:val="single" w:color="000000" w:sz="4" w:space="0"/>
            </w:tcBorders>
            <w:shd w:val="clear"/>
            <w:vAlign w:val="center"/>
          </w:tcPr>
          <w:p w14:paraId="2B23F1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广元市昭化区人民检察院部门</w:t>
            </w:r>
          </w:p>
        </w:tc>
        <w:tc>
          <w:tcPr>
            <w:tcW w:w="384" w:type="pct"/>
            <w:tcBorders>
              <w:top w:val="nil"/>
              <w:left w:val="nil"/>
              <w:bottom w:val="nil"/>
              <w:right w:val="nil"/>
            </w:tcBorders>
            <w:shd w:val="clear"/>
            <w:vAlign w:val="center"/>
          </w:tcPr>
          <w:p w14:paraId="608B6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实施单位 （盖章）</w:t>
            </w:r>
          </w:p>
        </w:tc>
        <w:tc>
          <w:tcPr>
            <w:tcW w:w="1783" w:type="pct"/>
            <w:gridSpan w:val="3"/>
            <w:tcBorders>
              <w:top w:val="single" w:color="000000" w:sz="4" w:space="0"/>
              <w:left w:val="single" w:color="000000" w:sz="4" w:space="0"/>
              <w:bottom w:val="single" w:color="000000" w:sz="4" w:space="0"/>
              <w:right w:val="single" w:color="000000" w:sz="4" w:space="0"/>
            </w:tcBorders>
            <w:shd w:val="clear"/>
            <w:vAlign w:val="center"/>
          </w:tcPr>
          <w:p w14:paraId="4CF8D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w:t>
            </w:r>
          </w:p>
        </w:tc>
      </w:tr>
      <w:tr w14:paraId="495D6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restart"/>
            <w:tcBorders>
              <w:top w:val="single" w:color="000000" w:sz="4" w:space="0"/>
              <w:left w:val="single" w:color="000000" w:sz="4" w:space="0"/>
              <w:bottom w:val="single" w:color="000000" w:sz="4" w:space="0"/>
              <w:right w:val="single" w:color="000000" w:sz="4" w:space="0"/>
            </w:tcBorders>
            <w:shd w:val="clear"/>
            <w:vAlign w:val="center"/>
          </w:tcPr>
          <w:p w14:paraId="0471F7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项目基本情况</w:t>
            </w:r>
          </w:p>
        </w:tc>
        <w:tc>
          <w:tcPr>
            <w:tcW w:w="520" w:type="pct"/>
            <w:vMerge w:val="restart"/>
            <w:tcBorders>
              <w:top w:val="single" w:color="000000" w:sz="4" w:space="0"/>
              <w:left w:val="single" w:color="000000" w:sz="4" w:space="0"/>
              <w:bottom w:val="single" w:color="000000" w:sz="4" w:space="0"/>
              <w:right w:val="single" w:color="000000" w:sz="4" w:space="0"/>
            </w:tcBorders>
            <w:shd w:val="clear"/>
            <w:vAlign w:val="center"/>
          </w:tcPr>
          <w:p w14:paraId="31FC1A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1.项目年度目标完成情况</w:t>
            </w:r>
          </w:p>
        </w:tc>
        <w:tc>
          <w:tcPr>
            <w:tcW w:w="1939" w:type="pct"/>
            <w:gridSpan w:val="5"/>
            <w:tcBorders>
              <w:top w:val="single" w:color="000000" w:sz="4" w:space="0"/>
              <w:left w:val="single" w:color="000000" w:sz="4" w:space="0"/>
              <w:bottom w:val="single" w:color="000000" w:sz="4" w:space="0"/>
              <w:right w:val="single" w:color="000000" w:sz="4" w:space="0"/>
            </w:tcBorders>
            <w:shd w:val="clear"/>
            <w:vAlign w:val="center"/>
          </w:tcPr>
          <w:p w14:paraId="610C4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项目年度目标</w:t>
            </w:r>
          </w:p>
        </w:tc>
        <w:tc>
          <w:tcPr>
            <w:tcW w:w="2168" w:type="pct"/>
            <w:gridSpan w:val="4"/>
            <w:tcBorders>
              <w:top w:val="single" w:color="000000" w:sz="4" w:space="0"/>
              <w:left w:val="single" w:color="000000" w:sz="4" w:space="0"/>
              <w:bottom w:val="single" w:color="000000" w:sz="4" w:space="0"/>
              <w:right w:val="single" w:color="000000" w:sz="4" w:space="0"/>
            </w:tcBorders>
            <w:shd w:val="clear"/>
            <w:vAlign w:val="center"/>
          </w:tcPr>
          <w:p w14:paraId="17DDE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年度目标完成情况</w:t>
            </w:r>
          </w:p>
        </w:tc>
      </w:tr>
      <w:tr w14:paraId="15CB8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26A4B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DF850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939" w:type="pct"/>
            <w:gridSpan w:val="5"/>
            <w:tcBorders>
              <w:top w:val="single" w:color="000000" w:sz="4" w:space="0"/>
              <w:left w:val="single" w:color="000000" w:sz="4" w:space="0"/>
              <w:bottom w:val="single" w:color="000000" w:sz="4" w:space="0"/>
              <w:right w:val="single" w:color="000000" w:sz="4" w:space="0"/>
            </w:tcBorders>
            <w:shd w:val="clear"/>
            <w:vAlign w:val="center"/>
          </w:tcPr>
          <w:p w14:paraId="3689F1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提高预算编制质量，严格执行预算，保障单位日常运转</w:t>
            </w:r>
          </w:p>
        </w:tc>
        <w:tc>
          <w:tcPr>
            <w:tcW w:w="2168" w:type="pct"/>
            <w:gridSpan w:val="4"/>
            <w:tcBorders>
              <w:top w:val="single" w:color="000000" w:sz="4" w:space="0"/>
              <w:left w:val="single" w:color="000000" w:sz="4" w:space="0"/>
              <w:bottom w:val="single" w:color="000000" w:sz="4" w:space="0"/>
              <w:right w:val="single" w:color="000000" w:sz="4" w:space="0"/>
            </w:tcBorders>
            <w:shd w:val="clear"/>
            <w:vAlign w:val="center"/>
          </w:tcPr>
          <w:p w14:paraId="56DCEB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严格执行预算，保障单位日常费用支出</w:t>
            </w:r>
          </w:p>
        </w:tc>
      </w:tr>
      <w:tr w14:paraId="2745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73582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640A60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2.项目实施内容及过程概述</w:t>
            </w:r>
          </w:p>
        </w:tc>
        <w:tc>
          <w:tcPr>
            <w:tcW w:w="4108" w:type="pct"/>
            <w:gridSpan w:val="9"/>
            <w:tcBorders>
              <w:top w:val="single" w:color="000000" w:sz="4" w:space="0"/>
              <w:left w:val="single" w:color="000000" w:sz="4" w:space="0"/>
              <w:bottom w:val="single" w:color="000000" w:sz="4" w:space="0"/>
              <w:right w:val="single" w:color="000000" w:sz="4" w:space="0"/>
            </w:tcBorders>
            <w:shd w:val="clear"/>
            <w:vAlign w:val="center"/>
          </w:tcPr>
          <w:p w14:paraId="65E15F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每月严格执行预算，保障单位日常费用支出</w:t>
            </w:r>
          </w:p>
        </w:tc>
      </w:tr>
      <w:tr w14:paraId="62B4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FCAF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预算执行情况（10分）</w:t>
            </w: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3571E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年度预算数（万元）</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5CD54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年初预算</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59CE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调整后预算数</w:t>
            </w: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6DCD02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预算执行数</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3506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预算执行率</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7B6B66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2941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33448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原因</w:t>
            </w:r>
          </w:p>
        </w:tc>
      </w:tr>
      <w:tr w14:paraId="5AEB1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DE6D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70EAF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总额</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47D28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791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332CD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2BC72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99.99%</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4518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63B23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030" w:type="pct"/>
            <w:vMerge w:val="restart"/>
            <w:tcBorders>
              <w:top w:val="single" w:color="000000" w:sz="4" w:space="0"/>
              <w:left w:val="single" w:color="000000" w:sz="4" w:space="0"/>
              <w:bottom w:val="single" w:color="000000" w:sz="4" w:space="0"/>
              <w:right w:val="single" w:color="000000" w:sz="4" w:space="0"/>
            </w:tcBorders>
            <w:shd w:val="clear"/>
            <w:vAlign w:val="center"/>
          </w:tcPr>
          <w:p w14:paraId="2A6407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0B5E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421A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4872B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其中：财政资金</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1AC85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F8CE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60322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33.44</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6EE5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99.99%</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0518C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7568F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3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FB9B9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5330C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149EE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73B28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财政专户管理资金</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5CD5E3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7434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0B30FE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29170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D110D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821A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3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27485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3204B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08B1A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5B4BDD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单位资金</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442CC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A3F5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1E695A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D226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87DA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5E37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3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6011B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0D75A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2117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3BCD42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其他资金</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33498F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C806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903" w:type="pct"/>
            <w:gridSpan w:val="3"/>
            <w:tcBorders>
              <w:top w:val="single" w:color="000000" w:sz="4" w:space="0"/>
              <w:left w:val="single" w:color="000000" w:sz="4" w:space="0"/>
              <w:bottom w:val="single" w:color="000000" w:sz="4" w:space="0"/>
              <w:right w:val="single" w:color="000000" w:sz="4" w:space="0"/>
            </w:tcBorders>
            <w:shd w:val="clear"/>
            <w:vAlign w:val="center"/>
          </w:tcPr>
          <w:p w14:paraId="3E8061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3C2AD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E9107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6094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103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59397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3E82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restart"/>
            <w:tcBorders>
              <w:top w:val="single" w:color="000000" w:sz="4" w:space="0"/>
              <w:left w:val="single" w:color="000000" w:sz="4" w:space="0"/>
              <w:bottom w:val="single" w:color="000000" w:sz="4" w:space="0"/>
              <w:right w:val="single" w:color="000000" w:sz="4" w:space="0"/>
            </w:tcBorders>
            <w:shd w:val="clear"/>
            <w:vAlign w:val="center"/>
          </w:tcPr>
          <w:p w14:paraId="0B42F1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绩效指标（90分）</w:t>
            </w:r>
          </w:p>
        </w:tc>
        <w:tc>
          <w:tcPr>
            <w:tcW w:w="520" w:type="pct"/>
            <w:tcBorders>
              <w:top w:val="single" w:color="000000" w:sz="4" w:space="0"/>
              <w:left w:val="single" w:color="000000" w:sz="4" w:space="0"/>
              <w:bottom w:val="single" w:color="000000" w:sz="4" w:space="0"/>
              <w:right w:val="single" w:color="000000" w:sz="4" w:space="0"/>
            </w:tcBorders>
            <w:shd w:val="clear"/>
            <w:vAlign w:val="center"/>
          </w:tcPr>
          <w:p w14:paraId="0C4F9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一级指标</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2A1B8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二级指标</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4FB24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三级指标</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14:paraId="2EFC5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指标性质</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16745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指标值</w:t>
            </w:r>
          </w:p>
        </w:tc>
        <w:tc>
          <w:tcPr>
            <w:tcW w:w="330" w:type="pct"/>
            <w:tcBorders>
              <w:top w:val="single" w:color="000000" w:sz="4" w:space="0"/>
              <w:left w:val="single" w:color="000000" w:sz="4" w:space="0"/>
              <w:bottom w:val="single" w:color="000000" w:sz="4" w:space="0"/>
              <w:right w:val="single" w:color="000000" w:sz="4" w:space="0"/>
            </w:tcBorders>
            <w:shd w:val="clear"/>
            <w:vAlign w:val="center"/>
          </w:tcPr>
          <w:p w14:paraId="2A1C5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度量单位</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01C14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完成值</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7DFC9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D987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20B78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未完成原因分析</w:t>
            </w:r>
          </w:p>
        </w:tc>
      </w:tr>
      <w:tr w14:paraId="0C2CC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3DD1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vMerge w:val="restart"/>
            <w:tcBorders>
              <w:top w:val="single" w:color="000000" w:sz="4" w:space="0"/>
              <w:left w:val="single" w:color="000000" w:sz="4" w:space="0"/>
              <w:bottom w:val="single" w:color="000000" w:sz="4" w:space="0"/>
              <w:right w:val="single" w:color="000000" w:sz="4" w:space="0"/>
            </w:tcBorders>
            <w:shd w:val="clear"/>
            <w:vAlign w:val="center"/>
          </w:tcPr>
          <w:p w14:paraId="1A888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3E991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07FA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科目调整次数</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14:paraId="15BC8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3EF8D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vAlign w:val="center"/>
          </w:tcPr>
          <w:p w14:paraId="770AB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次</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141E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AA440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784C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10A7AD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493B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089C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5E79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5693C4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质量指标</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16324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预算编制准确率（计算方法为：∣（执行数-预算数）/预算数∣）</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14:paraId="6D35E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5967A3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vAlign w:val="center"/>
          </w:tcPr>
          <w:p w14:paraId="44595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39F29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744F8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4A671E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629EC5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614D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6"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EB4B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vMerge w:val="restart"/>
            <w:tcBorders>
              <w:top w:val="single" w:color="000000" w:sz="4" w:space="0"/>
              <w:left w:val="single" w:color="000000" w:sz="4" w:space="0"/>
              <w:bottom w:val="single" w:color="000000" w:sz="4" w:space="0"/>
              <w:right w:val="single" w:color="000000" w:sz="4" w:space="0"/>
            </w:tcBorders>
            <w:shd w:val="clear"/>
            <w:vAlign w:val="center"/>
          </w:tcPr>
          <w:p w14:paraId="07D513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效益指标</w:t>
            </w: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0C1BE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经济效益指标</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F62E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“三公经费”控制率[计算方法为：（三公经费实际支出数/预算安排数]×100%）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14:paraId="797E2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03A66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vAlign w:val="center"/>
          </w:tcPr>
          <w:p w14:paraId="28532A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BF91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706824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76105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5DCC29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226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00F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E3B6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75" w:type="pct"/>
            <w:tcBorders>
              <w:top w:val="single" w:color="000000" w:sz="4" w:space="0"/>
              <w:left w:val="single" w:color="000000" w:sz="4" w:space="0"/>
              <w:bottom w:val="single" w:color="000000" w:sz="4" w:space="0"/>
              <w:right w:val="single" w:color="000000" w:sz="4" w:space="0"/>
            </w:tcBorders>
            <w:shd w:val="clear"/>
            <w:vAlign w:val="center"/>
          </w:tcPr>
          <w:p w14:paraId="5AA5A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社会效益指标</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BBD0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运转保障率</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14:paraId="11213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vAlign w:val="center"/>
          </w:tcPr>
          <w:p w14:paraId="09091A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vAlign w:val="center"/>
          </w:tcPr>
          <w:p w14:paraId="17B7E4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DF78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417F5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8FFF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416E65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5A6DE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216" w:type="pct"/>
            <w:gridSpan w:val="8"/>
            <w:tcBorders>
              <w:top w:val="single" w:color="000000" w:sz="4" w:space="0"/>
              <w:left w:val="single" w:color="000000" w:sz="4" w:space="0"/>
              <w:bottom w:val="single" w:color="000000" w:sz="4" w:space="0"/>
              <w:right w:val="single" w:color="000000" w:sz="4" w:space="0"/>
            </w:tcBorders>
            <w:shd w:val="clear"/>
            <w:vAlign w:val="center"/>
          </w:tcPr>
          <w:p w14:paraId="14A8E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合计</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43D1AA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01EBB9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1030" w:type="pct"/>
            <w:tcBorders>
              <w:top w:val="single" w:color="000000" w:sz="4" w:space="0"/>
              <w:left w:val="single" w:color="000000" w:sz="4" w:space="0"/>
              <w:bottom w:val="single" w:color="000000" w:sz="4" w:space="0"/>
              <w:right w:val="single" w:color="000000" w:sz="4" w:space="0"/>
            </w:tcBorders>
            <w:shd w:val="clear"/>
            <w:vAlign w:val="center"/>
          </w:tcPr>
          <w:p w14:paraId="39C9767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59D0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tcBorders>
              <w:top w:val="single" w:color="000000" w:sz="4" w:space="0"/>
              <w:left w:val="single" w:color="000000" w:sz="4" w:space="0"/>
              <w:bottom w:val="single" w:color="000000" w:sz="4" w:space="0"/>
              <w:right w:val="single" w:color="000000" w:sz="4" w:space="0"/>
            </w:tcBorders>
            <w:shd w:val="clear"/>
            <w:vAlign w:val="center"/>
          </w:tcPr>
          <w:p w14:paraId="0DFAD1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评价结论</w:t>
            </w:r>
          </w:p>
        </w:tc>
        <w:tc>
          <w:tcPr>
            <w:tcW w:w="4628" w:type="pct"/>
            <w:gridSpan w:val="10"/>
            <w:tcBorders>
              <w:top w:val="single" w:color="000000" w:sz="4" w:space="0"/>
              <w:left w:val="single" w:color="000000" w:sz="4" w:space="0"/>
              <w:bottom w:val="single" w:color="000000" w:sz="4" w:space="0"/>
              <w:right w:val="single" w:color="000000" w:sz="4" w:space="0"/>
            </w:tcBorders>
            <w:shd w:val="clear"/>
            <w:vAlign w:val="center"/>
          </w:tcPr>
          <w:p w14:paraId="384ADA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严格执行预算，保障单位日常费用支出</w:t>
            </w:r>
          </w:p>
        </w:tc>
      </w:tr>
      <w:tr w14:paraId="53B76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tcBorders>
              <w:top w:val="single" w:color="000000" w:sz="4" w:space="0"/>
              <w:left w:val="single" w:color="000000" w:sz="4" w:space="0"/>
              <w:bottom w:val="single" w:color="000000" w:sz="4" w:space="0"/>
              <w:right w:val="single" w:color="000000" w:sz="4" w:space="0"/>
            </w:tcBorders>
            <w:shd w:val="clear"/>
            <w:vAlign w:val="center"/>
          </w:tcPr>
          <w:p w14:paraId="0CC0C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存在问题</w:t>
            </w:r>
          </w:p>
        </w:tc>
        <w:tc>
          <w:tcPr>
            <w:tcW w:w="4628" w:type="pct"/>
            <w:gridSpan w:val="10"/>
            <w:tcBorders>
              <w:top w:val="single" w:color="000000" w:sz="4" w:space="0"/>
              <w:left w:val="single" w:color="000000" w:sz="4" w:space="0"/>
              <w:bottom w:val="single" w:color="000000" w:sz="4" w:space="0"/>
              <w:right w:val="single" w:color="000000" w:sz="4" w:space="0"/>
            </w:tcBorders>
            <w:shd w:val="clear"/>
            <w:vAlign w:val="center"/>
          </w:tcPr>
          <w:p w14:paraId="748453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05746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1" w:type="pct"/>
            <w:tcBorders>
              <w:top w:val="single" w:color="000000" w:sz="4" w:space="0"/>
              <w:left w:val="single" w:color="000000" w:sz="4" w:space="0"/>
              <w:bottom w:val="single" w:color="000000" w:sz="4" w:space="0"/>
              <w:right w:val="single" w:color="000000" w:sz="4" w:space="0"/>
            </w:tcBorders>
            <w:shd w:val="clear"/>
            <w:vAlign w:val="center"/>
          </w:tcPr>
          <w:p w14:paraId="47703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改进措施</w:t>
            </w:r>
          </w:p>
        </w:tc>
        <w:tc>
          <w:tcPr>
            <w:tcW w:w="4628" w:type="pct"/>
            <w:gridSpan w:val="10"/>
            <w:tcBorders>
              <w:top w:val="single" w:color="000000" w:sz="4" w:space="0"/>
              <w:left w:val="single" w:color="000000" w:sz="4" w:space="0"/>
              <w:bottom w:val="single" w:color="000000" w:sz="4" w:space="0"/>
              <w:right w:val="single" w:color="000000" w:sz="4" w:space="0"/>
            </w:tcBorders>
            <w:shd w:val="clear"/>
            <w:vAlign w:val="center"/>
          </w:tcPr>
          <w:p w14:paraId="2D7D73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25D15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2243" w:type="pct"/>
            <w:gridSpan w:val="5"/>
            <w:tcBorders>
              <w:top w:val="single" w:color="000000" w:sz="4" w:space="0"/>
              <w:left w:val="single" w:color="000000" w:sz="4" w:space="0"/>
              <w:bottom w:val="single" w:color="000000" w:sz="4" w:space="0"/>
              <w:right w:val="single" w:color="000000" w:sz="4" w:space="0"/>
            </w:tcBorders>
            <w:shd w:val="clear"/>
            <w:vAlign w:val="center"/>
          </w:tcPr>
          <w:p w14:paraId="62FDB7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项目负责人：张颖</w:t>
            </w:r>
          </w:p>
        </w:tc>
        <w:tc>
          <w:tcPr>
            <w:tcW w:w="2756" w:type="pct"/>
            <w:gridSpan w:val="6"/>
            <w:tcBorders>
              <w:top w:val="single" w:color="000000" w:sz="4" w:space="0"/>
              <w:left w:val="single" w:color="000000" w:sz="4" w:space="0"/>
              <w:bottom w:val="single" w:color="000000" w:sz="4" w:space="0"/>
              <w:right w:val="single" w:color="000000" w:sz="4" w:space="0"/>
            </w:tcBorders>
            <w:shd w:val="clear"/>
            <w:vAlign w:val="center"/>
          </w:tcPr>
          <w:p w14:paraId="4AB3DB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财务负责人：冯亮</w:t>
            </w:r>
          </w:p>
        </w:tc>
      </w:tr>
    </w:tbl>
    <w:p w14:paraId="1A226198">
      <w:pPr>
        <w:pStyle w:val="5"/>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W w:w="500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91"/>
        <w:gridCol w:w="1752"/>
        <w:gridCol w:w="1092"/>
        <w:gridCol w:w="1285"/>
        <w:gridCol w:w="919"/>
        <w:gridCol w:w="1092"/>
        <w:gridCol w:w="1098"/>
        <w:gridCol w:w="1103"/>
        <w:gridCol w:w="1092"/>
        <w:gridCol w:w="1092"/>
        <w:gridCol w:w="2564"/>
      </w:tblGrid>
      <w:tr w14:paraId="194E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1"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3C44E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部门预算项目支出绩效自评表（2023年度）</w:t>
            </w:r>
          </w:p>
        </w:tc>
      </w:tr>
      <w:tr w14:paraId="70B2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vAlign w:val="center"/>
          </w:tcPr>
          <w:p w14:paraId="4F577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3996" w:type="pct"/>
            <w:gridSpan w:val="9"/>
            <w:tcBorders>
              <w:top w:val="single" w:color="000000" w:sz="4" w:space="0"/>
              <w:left w:val="single" w:color="000000" w:sz="4" w:space="0"/>
              <w:bottom w:val="single" w:color="000000" w:sz="4" w:space="0"/>
              <w:right w:val="single" w:color="000000" w:sz="4" w:space="0"/>
            </w:tcBorders>
            <w:shd w:val="clear"/>
            <w:vAlign w:val="center"/>
          </w:tcPr>
          <w:p w14:paraId="2374AF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51080022R000000267546-工资性支出（事业）</w:t>
            </w:r>
          </w:p>
        </w:tc>
      </w:tr>
      <w:tr w14:paraId="5EE08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vAlign w:val="center"/>
          </w:tcPr>
          <w:p w14:paraId="32ADD7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1934" w:type="pct"/>
            <w:gridSpan w:val="5"/>
            <w:tcBorders>
              <w:top w:val="single" w:color="000000" w:sz="4" w:space="0"/>
              <w:left w:val="single" w:color="000000" w:sz="4" w:space="0"/>
              <w:bottom w:val="single" w:color="000000" w:sz="4" w:space="0"/>
              <w:right w:val="single" w:color="000000" w:sz="4" w:space="0"/>
            </w:tcBorders>
            <w:shd w:val="clear"/>
            <w:vAlign w:val="center"/>
          </w:tcPr>
          <w:p w14:paraId="2AB0AA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广元市昭化区人民检察院部门</w:t>
            </w:r>
          </w:p>
        </w:tc>
        <w:tc>
          <w:tcPr>
            <w:tcW w:w="388" w:type="pct"/>
            <w:tcBorders>
              <w:top w:val="nil"/>
              <w:left w:val="nil"/>
              <w:bottom w:val="nil"/>
              <w:right w:val="nil"/>
            </w:tcBorders>
            <w:shd w:val="clear"/>
            <w:vAlign w:val="center"/>
          </w:tcPr>
          <w:p w14:paraId="1463D1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1673" w:type="pct"/>
            <w:gridSpan w:val="3"/>
            <w:tcBorders>
              <w:top w:val="single" w:color="000000" w:sz="4" w:space="0"/>
              <w:left w:val="single" w:color="000000" w:sz="4" w:space="0"/>
              <w:bottom w:val="single" w:color="000000" w:sz="4" w:space="0"/>
              <w:right w:val="single" w:color="000000" w:sz="4" w:space="0"/>
            </w:tcBorders>
            <w:shd w:val="clear"/>
            <w:vAlign w:val="center"/>
          </w:tcPr>
          <w:p w14:paraId="5240C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广元市昭化区人民检察院</w:t>
            </w:r>
          </w:p>
        </w:tc>
      </w:tr>
      <w:tr w14:paraId="0FA9F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restart"/>
            <w:tcBorders>
              <w:top w:val="single" w:color="000000" w:sz="4" w:space="0"/>
              <w:left w:val="single" w:color="000000" w:sz="4" w:space="0"/>
              <w:bottom w:val="single" w:color="000000" w:sz="4" w:space="0"/>
              <w:right w:val="single" w:color="000000" w:sz="4" w:space="0"/>
            </w:tcBorders>
            <w:shd w:val="clear"/>
            <w:vAlign w:val="center"/>
          </w:tcPr>
          <w:p w14:paraId="21B407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61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B0F2F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1934" w:type="pct"/>
            <w:gridSpan w:val="5"/>
            <w:tcBorders>
              <w:top w:val="single" w:color="000000" w:sz="4" w:space="0"/>
              <w:left w:val="single" w:color="000000" w:sz="4" w:space="0"/>
              <w:bottom w:val="single" w:color="000000" w:sz="4" w:space="0"/>
              <w:right w:val="single" w:color="000000" w:sz="4" w:space="0"/>
            </w:tcBorders>
            <w:shd w:val="clear"/>
            <w:vAlign w:val="center"/>
          </w:tcPr>
          <w:p w14:paraId="40C81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2062" w:type="pct"/>
            <w:gridSpan w:val="4"/>
            <w:tcBorders>
              <w:top w:val="single" w:color="000000" w:sz="4" w:space="0"/>
              <w:left w:val="single" w:color="000000" w:sz="4" w:space="0"/>
              <w:bottom w:val="single" w:color="000000" w:sz="4" w:space="0"/>
              <w:right w:val="single" w:color="000000" w:sz="4" w:space="0"/>
            </w:tcBorders>
            <w:shd w:val="clear"/>
            <w:vAlign w:val="center"/>
          </w:tcPr>
          <w:p w14:paraId="06FC9A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329F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35F2E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1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66EF2E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934" w:type="pct"/>
            <w:gridSpan w:val="5"/>
            <w:tcBorders>
              <w:top w:val="single" w:color="000000" w:sz="4" w:space="0"/>
              <w:left w:val="single" w:color="000000" w:sz="4" w:space="0"/>
              <w:bottom w:val="single" w:color="000000" w:sz="4" w:space="0"/>
              <w:right w:val="single" w:color="000000" w:sz="4" w:space="0"/>
            </w:tcBorders>
            <w:shd w:val="clear"/>
            <w:vAlign w:val="center"/>
          </w:tcPr>
          <w:p w14:paraId="6C8530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2062" w:type="pct"/>
            <w:gridSpan w:val="4"/>
            <w:tcBorders>
              <w:top w:val="single" w:color="000000" w:sz="4" w:space="0"/>
              <w:left w:val="single" w:color="000000" w:sz="4" w:space="0"/>
              <w:bottom w:val="single" w:color="000000" w:sz="4" w:space="0"/>
              <w:right w:val="single" w:color="000000" w:sz="4" w:space="0"/>
            </w:tcBorders>
            <w:shd w:val="clear"/>
            <w:vAlign w:val="center"/>
          </w:tcPr>
          <w:p w14:paraId="107F17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保障工资及时、足额发放或社保及时、足额缴纳，预算编制科学合理，减少结余资金</w:t>
            </w:r>
          </w:p>
        </w:tc>
      </w:tr>
      <w:tr w14:paraId="02481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9B866F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537FD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3996" w:type="pct"/>
            <w:gridSpan w:val="9"/>
            <w:tcBorders>
              <w:top w:val="single" w:color="000000" w:sz="4" w:space="0"/>
              <w:left w:val="single" w:color="000000" w:sz="4" w:space="0"/>
              <w:bottom w:val="single" w:color="000000" w:sz="4" w:space="0"/>
              <w:right w:val="single" w:color="000000" w:sz="4" w:space="0"/>
            </w:tcBorders>
            <w:shd w:val="clear"/>
            <w:vAlign w:val="center"/>
          </w:tcPr>
          <w:p w14:paraId="6A7D58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每月保障工资及时、足额发放或社保及时、足额缴纳，预算编制科学合理，减少结余资金</w:t>
            </w:r>
          </w:p>
        </w:tc>
      </w:tr>
      <w:tr w14:paraId="53208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85" w:type="pct"/>
            <w:vMerge w:val="restart"/>
            <w:tcBorders>
              <w:top w:val="single" w:color="000000" w:sz="4" w:space="0"/>
              <w:left w:val="single" w:color="000000" w:sz="4" w:space="0"/>
              <w:bottom w:val="single" w:color="000000" w:sz="4" w:space="0"/>
              <w:right w:val="single" w:color="000000" w:sz="4" w:space="0"/>
            </w:tcBorders>
            <w:shd w:val="clear"/>
            <w:vAlign w:val="center"/>
          </w:tcPr>
          <w:p w14:paraId="0FC8E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32EE7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4FC03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6FA85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79759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727E3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46D4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09A94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03" w:type="pct"/>
            <w:tcBorders>
              <w:top w:val="single" w:color="000000" w:sz="4" w:space="0"/>
              <w:left w:val="single" w:color="000000" w:sz="4" w:space="0"/>
              <w:bottom w:val="single" w:color="000000" w:sz="4" w:space="0"/>
              <w:right w:val="single" w:color="000000" w:sz="4" w:space="0"/>
            </w:tcBorders>
            <w:shd w:val="clear"/>
            <w:vAlign w:val="center"/>
          </w:tcPr>
          <w:p w14:paraId="03D24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6F62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9EA8E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63E8C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A296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1CB20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7F11B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30282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3A3CA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8C92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03" w:type="pct"/>
            <w:vMerge w:val="restart"/>
            <w:tcBorders>
              <w:top w:val="single" w:color="000000" w:sz="4" w:space="0"/>
              <w:left w:val="single" w:color="000000" w:sz="4" w:space="0"/>
              <w:bottom w:val="single" w:color="000000" w:sz="4" w:space="0"/>
              <w:right w:val="single" w:color="000000" w:sz="4" w:space="0"/>
            </w:tcBorders>
            <w:shd w:val="clear"/>
            <w:vAlign w:val="center"/>
          </w:tcPr>
          <w:p w14:paraId="77669B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D275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0105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4497B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184A08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4B924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010DC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21.12</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2A844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0C1340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CA06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8E7954">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3647F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10E8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6C262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11503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67E30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3AEEB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22209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F133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6307B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0B7259">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3381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52A4F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647EE9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2ED1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4CF20C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2F1D2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08586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66F9D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E9D0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17E598">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3E0EF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65AA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1D66E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233125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3447CF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095" w:type="pct"/>
            <w:gridSpan w:val="3"/>
            <w:tcBorders>
              <w:top w:val="single" w:color="000000" w:sz="4" w:space="0"/>
              <w:left w:val="single" w:color="000000" w:sz="4" w:space="0"/>
              <w:bottom w:val="single" w:color="000000" w:sz="4" w:space="0"/>
              <w:right w:val="single" w:color="000000" w:sz="4" w:space="0"/>
            </w:tcBorders>
            <w:shd w:val="clear"/>
            <w:vAlign w:val="center"/>
          </w:tcPr>
          <w:p w14:paraId="2E989D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2061CD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E1A2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08A0E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33C166">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14:paraId="0DEA9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ECB9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4C541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5ADCB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0A1159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22" w:type="pct"/>
            <w:tcBorders>
              <w:top w:val="single" w:color="000000" w:sz="4" w:space="0"/>
              <w:left w:val="single" w:color="000000" w:sz="4" w:space="0"/>
              <w:bottom w:val="single" w:color="000000" w:sz="4" w:space="0"/>
              <w:right w:val="single" w:color="000000" w:sz="4" w:space="0"/>
            </w:tcBorders>
            <w:shd w:val="clear"/>
            <w:vAlign w:val="center"/>
          </w:tcPr>
          <w:p w14:paraId="62E4F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D5DC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1ED6F5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0A26E0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2AAB1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B23F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03" w:type="pct"/>
            <w:tcBorders>
              <w:top w:val="single" w:color="000000" w:sz="4" w:space="0"/>
              <w:left w:val="single" w:color="000000" w:sz="4" w:space="0"/>
              <w:bottom w:val="single" w:color="000000" w:sz="4" w:space="0"/>
              <w:right w:val="single" w:color="000000" w:sz="4" w:space="0"/>
            </w:tcBorders>
            <w:shd w:val="clear"/>
            <w:vAlign w:val="center"/>
          </w:tcPr>
          <w:p w14:paraId="2A1BF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2DDCE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2DD6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59D77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E6C9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6AFC2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322" w:type="pct"/>
            <w:tcBorders>
              <w:top w:val="single" w:color="000000" w:sz="4" w:space="0"/>
              <w:left w:val="single" w:color="000000" w:sz="4" w:space="0"/>
              <w:bottom w:val="single" w:color="000000" w:sz="4" w:space="0"/>
              <w:right w:val="single" w:color="000000" w:sz="4" w:space="0"/>
            </w:tcBorders>
            <w:shd w:val="clear"/>
            <w:vAlign w:val="center"/>
          </w:tcPr>
          <w:p w14:paraId="29D41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6E122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67EC3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6E516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19591E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6417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903" w:type="pct"/>
            <w:tcBorders>
              <w:top w:val="single" w:color="000000" w:sz="4" w:space="0"/>
              <w:left w:val="single" w:color="000000" w:sz="4" w:space="0"/>
              <w:bottom w:val="single" w:color="000000" w:sz="4" w:space="0"/>
              <w:right w:val="single" w:color="000000" w:sz="4" w:space="0"/>
            </w:tcBorders>
            <w:shd w:val="clear"/>
            <w:vAlign w:val="center"/>
          </w:tcPr>
          <w:p w14:paraId="590768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7896E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8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FBAE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18" w:type="pct"/>
            <w:tcBorders>
              <w:top w:val="single" w:color="000000" w:sz="4" w:space="0"/>
              <w:left w:val="single" w:color="000000" w:sz="4" w:space="0"/>
              <w:bottom w:val="single" w:color="000000" w:sz="4" w:space="0"/>
              <w:right w:val="single" w:color="000000" w:sz="4" w:space="0"/>
            </w:tcBorders>
            <w:shd w:val="clear"/>
            <w:vAlign w:val="center"/>
          </w:tcPr>
          <w:p w14:paraId="77F13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2AB99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453" w:type="pct"/>
            <w:tcBorders>
              <w:top w:val="single" w:color="000000" w:sz="4" w:space="0"/>
              <w:left w:val="single" w:color="000000" w:sz="4" w:space="0"/>
              <w:bottom w:val="single" w:color="000000" w:sz="4" w:space="0"/>
              <w:right w:val="single" w:color="000000" w:sz="4" w:space="0"/>
            </w:tcBorders>
            <w:shd w:val="clear"/>
            <w:vAlign w:val="center"/>
          </w:tcPr>
          <w:p w14:paraId="7E349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322" w:type="pct"/>
            <w:tcBorders>
              <w:top w:val="single" w:color="000000" w:sz="4" w:space="0"/>
              <w:left w:val="single" w:color="000000" w:sz="4" w:space="0"/>
              <w:bottom w:val="single" w:color="000000" w:sz="4" w:space="0"/>
              <w:right w:val="single" w:color="000000" w:sz="4" w:space="0"/>
            </w:tcBorders>
            <w:shd w:val="clear"/>
            <w:vAlign w:val="center"/>
          </w:tcPr>
          <w:p w14:paraId="6ABA3A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4283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0D08F2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vAlign w:val="center"/>
          </w:tcPr>
          <w:p w14:paraId="19C93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5A3F8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669C4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903" w:type="pct"/>
            <w:tcBorders>
              <w:top w:val="single" w:color="000000" w:sz="4" w:space="0"/>
              <w:left w:val="single" w:color="000000" w:sz="4" w:space="0"/>
              <w:bottom w:val="single" w:color="000000" w:sz="4" w:space="0"/>
              <w:right w:val="single" w:color="000000" w:sz="4" w:space="0"/>
            </w:tcBorders>
            <w:shd w:val="clear"/>
            <w:vAlign w:val="center"/>
          </w:tcPr>
          <w:p w14:paraId="0F40C0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14:paraId="0C81F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326" w:type="pct"/>
            <w:gridSpan w:val="8"/>
            <w:tcBorders>
              <w:top w:val="single" w:color="000000" w:sz="4" w:space="0"/>
              <w:left w:val="single" w:color="000000" w:sz="4" w:space="0"/>
              <w:bottom w:val="single" w:color="000000" w:sz="4" w:space="0"/>
              <w:right w:val="single" w:color="000000" w:sz="4" w:space="0"/>
            </w:tcBorders>
            <w:shd w:val="clear"/>
            <w:vAlign w:val="center"/>
          </w:tcPr>
          <w:p w14:paraId="44652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2DD0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FBF4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903" w:type="pct"/>
            <w:tcBorders>
              <w:top w:val="single" w:color="000000" w:sz="4" w:space="0"/>
              <w:left w:val="single" w:color="000000" w:sz="4" w:space="0"/>
              <w:bottom w:val="single" w:color="000000" w:sz="4" w:space="0"/>
              <w:right w:val="single" w:color="000000" w:sz="4" w:space="0"/>
            </w:tcBorders>
            <w:shd w:val="clear"/>
            <w:vAlign w:val="center"/>
          </w:tcPr>
          <w:p w14:paraId="5975F8C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38C5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tcBorders>
              <w:top w:val="single" w:color="000000" w:sz="4" w:space="0"/>
              <w:left w:val="single" w:color="000000" w:sz="4" w:space="0"/>
              <w:bottom w:val="single" w:color="000000" w:sz="4" w:space="0"/>
              <w:right w:val="single" w:color="000000" w:sz="4" w:space="0"/>
            </w:tcBorders>
            <w:shd w:val="clear"/>
            <w:vAlign w:val="center"/>
          </w:tcPr>
          <w:p w14:paraId="4232A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4614" w:type="pct"/>
            <w:gridSpan w:val="10"/>
            <w:tcBorders>
              <w:top w:val="single" w:color="000000" w:sz="4" w:space="0"/>
              <w:left w:val="single" w:color="000000" w:sz="4" w:space="0"/>
              <w:bottom w:val="single" w:color="000000" w:sz="4" w:space="0"/>
              <w:right w:val="single" w:color="000000" w:sz="4" w:space="0"/>
            </w:tcBorders>
            <w:shd w:val="clear"/>
            <w:vAlign w:val="center"/>
          </w:tcPr>
          <w:p w14:paraId="5F0FD4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保障工资及时、足额发放或社保及时、足额缴纳，预算编制科学合理，减少结余资金</w:t>
            </w:r>
          </w:p>
        </w:tc>
      </w:tr>
      <w:tr w14:paraId="01F8F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tcBorders>
              <w:top w:val="single" w:color="000000" w:sz="4" w:space="0"/>
              <w:left w:val="single" w:color="000000" w:sz="4" w:space="0"/>
              <w:bottom w:val="single" w:color="000000" w:sz="4" w:space="0"/>
              <w:right w:val="single" w:color="000000" w:sz="4" w:space="0"/>
            </w:tcBorders>
            <w:shd w:val="clear"/>
            <w:vAlign w:val="center"/>
          </w:tcPr>
          <w:p w14:paraId="33A9A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4614" w:type="pct"/>
            <w:gridSpan w:val="10"/>
            <w:tcBorders>
              <w:top w:val="single" w:color="000000" w:sz="4" w:space="0"/>
              <w:left w:val="single" w:color="000000" w:sz="4" w:space="0"/>
              <w:bottom w:val="single" w:color="000000" w:sz="4" w:space="0"/>
              <w:right w:val="single" w:color="000000" w:sz="4" w:space="0"/>
            </w:tcBorders>
            <w:shd w:val="clear"/>
            <w:vAlign w:val="center"/>
          </w:tcPr>
          <w:p w14:paraId="274C53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185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385" w:type="pct"/>
            <w:tcBorders>
              <w:top w:val="single" w:color="000000" w:sz="4" w:space="0"/>
              <w:left w:val="single" w:color="000000" w:sz="4" w:space="0"/>
              <w:bottom w:val="single" w:color="000000" w:sz="4" w:space="0"/>
              <w:right w:val="single" w:color="000000" w:sz="4" w:space="0"/>
            </w:tcBorders>
            <w:shd w:val="clear"/>
            <w:vAlign w:val="center"/>
          </w:tcPr>
          <w:p w14:paraId="7ECFE5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4614" w:type="pct"/>
            <w:gridSpan w:val="10"/>
            <w:tcBorders>
              <w:top w:val="single" w:color="000000" w:sz="4" w:space="0"/>
              <w:left w:val="single" w:color="000000" w:sz="4" w:space="0"/>
              <w:bottom w:val="single" w:color="000000" w:sz="4" w:space="0"/>
              <w:right w:val="single" w:color="000000" w:sz="4" w:space="0"/>
            </w:tcBorders>
            <w:shd w:val="clear"/>
            <w:vAlign w:val="center"/>
          </w:tcPr>
          <w:p w14:paraId="67418D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7540B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165" w:type="pct"/>
            <w:gridSpan w:val="5"/>
            <w:tcBorders>
              <w:top w:val="single" w:color="000000" w:sz="4" w:space="0"/>
              <w:left w:val="single" w:color="000000" w:sz="4" w:space="0"/>
              <w:bottom w:val="single" w:color="000000" w:sz="4" w:space="0"/>
              <w:right w:val="single" w:color="000000" w:sz="4" w:space="0"/>
            </w:tcBorders>
            <w:shd w:val="clear"/>
            <w:vAlign w:val="center"/>
          </w:tcPr>
          <w:p w14:paraId="5291DA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项目负责人：张颖</w:t>
            </w:r>
          </w:p>
        </w:tc>
        <w:tc>
          <w:tcPr>
            <w:tcW w:w="2834" w:type="pct"/>
            <w:gridSpan w:val="6"/>
            <w:tcBorders>
              <w:top w:val="single" w:color="000000" w:sz="4" w:space="0"/>
              <w:left w:val="single" w:color="000000" w:sz="4" w:space="0"/>
              <w:bottom w:val="single" w:color="000000" w:sz="4" w:space="0"/>
              <w:right w:val="single" w:color="000000" w:sz="4" w:space="0"/>
            </w:tcBorders>
            <w:shd w:val="clear"/>
            <w:vAlign w:val="center"/>
          </w:tcPr>
          <w:p w14:paraId="7A4168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财务负责人：冯亮</w:t>
            </w:r>
          </w:p>
        </w:tc>
      </w:tr>
    </w:tbl>
    <w:p w14:paraId="78FF516C">
      <w:pPr>
        <w:pStyle w:val="5"/>
        <w:rPr>
          <w:rFonts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W w:w="49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87"/>
        <w:gridCol w:w="1377"/>
        <w:gridCol w:w="1088"/>
        <w:gridCol w:w="1721"/>
        <w:gridCol w:w="922"/>
        <w:gridCol w:w="984"/>
        <w:gridCol w:w="872"/>
        <w:gridCol w:w="1111"/>
        <w:gridCol w:w="1080"/>
        <w:gridCol w:w="1080"/>
        <w:gridCol w:w="2736"/>
      </w:tblGrid>
      <w:tr w14:paraId="6508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14:paraId="4ACE7B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部门预算项目支出绩效自评表（2023年度）</w:t>
            </w:r>
          </w:p>
        </w:tc>
      </w:tr>
      <w:tr w14:paraId="6200F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07374C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项目名称</w:t>
            </w:r>
          </w:p>
        </w:tc>
        <w:tc>
          <w:tcPr>
            <w:tcW w:w="4122" w:type="pct"/>
            <w:gridSpan w:val="9"/>
            <w:tcBorders>
              <w:top w:val="single" w:color="000000" w:sz="4" w:space="0"/>
              <w:left w:val="single" w:color="000000" w:sz="4" w:space="0"/>
              <w:bottom w:val="single" w:color="000000" w:sz="4" w:space="0"/>
              <w:right w:val="single" w:color="000000" w:sz="4" w:space="0"/>
            </w:tcBorders>
            <w:shd w:val="clear"/>
            <w:vAlign w:val="center"/>
          </w:tcPr>
          <w:p w14:paraId="78347D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51080022Y000000267568-定额公用经费（事业）</w:t>
            </w:r>
          </w:p>
        </w:tc>
      </w:tr>
      <w:tr w14:paraId="7306D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026A7E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主管部门</w:t>
            </w:r>
          </w:p>
        </w:tc>
        <w:tc>
          <w:tcPr>
            <w:tcW w:w="1987" w:type="pct"/>
            <w:gridSpan w:val="5"/>
            <w:tcBorders>
              <w:top w:val="single" w:color="000000" w:sz="4" w:space="0"/>
              <w:left w:val="single" w:color="000000" w:sz="4" w:space="0"/>
              <w:bottom w:val="single" w:color="000000" w:sz="4" w:space="0"/>
              <w:right w:val="single" w:color="000000" w:sz="4" w:space="0"/>
            </w:tcBorders>
            <w:shd w:val="clear"/>
            <w:vAlign w:val="center"/>
          </w:tcPr>
          <w:p w14:paraId="3E03FA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广元市昭化区人民检察院部门</w:t>
            </w:r>
          </w:p>
        </w:tc>
        <w:tc>
          <w:tcPr>
            <w:tcW w:w="394" w:type="pct"/>
            <w:tcBorders>
              <w:top w:val="nil"/>
              <w:left w:val="nil"/>
              <w:bottom w:val="nil"/>
              <w:right w:val="nil"/>
            </w:tcBorders>
            <w:shd w:val="clear"/>
            <w:vAlign w:val="center"/>
          </w:tcPr>
          <w:p w14:paraId="72B156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实施单位 （盖章）</w:t>
            </w:r>
          </w:p>
        </w:tc>
        <w:tc>
          <w:tcPr>
            <w:tcW w:w="1740" w:type="pct"/>
            <w:gridSpan w:val="3"/>
            <w:tcBorders>
              <w:top w:val="single" w:color="000000" w:sz="4" w:space="0"/>
              <w:left w:val="single" w:color="000000" w:sz="4" w:space="0"/>
              <w:bottom w:val="single" w:color="000000" w:sz="4" w:space="0"/>
              <w:right w:val="single" w:color="000000" w:sz="4" w:space="0"/>
            </w:tcBorders>
            <w:shd w:val="clear"/>
            <w:vAlign w:val="center"/>
          </w:tcPr>
          <w:p w14:paraId="5C7DB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广元市昭化区人民检察院</w:t>
            </w:r>
          </w:p>
        </w:tc>
      </w:tr>
      <w:tr w14:paraId="6024A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A1E25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项目基本情况</w:t>
            </w:r>
          </w:p>
        </w:tc>
        <w:tc>
          <w:tcPr>
            <w:tcW w:w="48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044F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1.项目年度目标完成情况</w:t>
            </w:r>
          </w:p>
        </w:tc>
        <w:tc>
          <w:tcPr>
            <w:tcW w:w="1987" w:type="pct"/>
            <w:gridSpan w:val="5"/>
            <w:tcBorders>
              <w:top w:val="single" w:color="000000" w:sz="4" w:space="0"/>
              <w:left w:val="single" w:color="000000" w:sz="4" w:space="0"/>
              <w:bottom w:val="single" w:color="000000" w:sz="4" w:space="0"/>
              <w:right w:val="single" w:color="000000" w:sz="4" w:space="0"/>
            </w:tcBorders>
            <w:shd w:val="clear"/>
            <w:vAlign w:val="center"/>
          </w:tcPr>
          <w:p w14:paraId="4B08DB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项目年度目标</w:t>
            </w:r>
          </w:p>
        </w:tc>
        <w:tc>
          <w:tcPr>
            <w:tcW w:w="2134" w:type="pct"/>
            <w:gridSpan w:val="4"/>
            <w:tcBorders>
              <w:top w:val="single" w:color="000000" w:sz="4" w:space="0"/>
              <w:left w:val="single" w:color="000000" w:sz="4" w:space="0"/>
              <w:bottom w:val="single" w:color="000000" w:sz="4" w:space="0"/>
              <w:right w:val="single" w:color="000000" w:sz="4" w:space="0"/>
            </w:tcBorders>
            <w:shd w:val="clear"/>
            <w:vAlign w:val="center"/>
          </w:tcPr>
          <w:p w14:paraId="5BF4EA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年度目标完成情况</w:t>
            </w:r>
          </w:p>
        </w:tc>
      </w:tr>
      <w:tr w14:paraId="162C2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9FEC1D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48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20B55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987" w:type="pct"/>
            <w:gridSpan w:val="5"/>
            <w:tcBorders>
              <w:top w:val="single" w:color="000000" w:sz="4" w:space="0"/>
              <w:left w:val="single" w:color="000000" w:sz="4" w:space="0"/>
              <w:bottom w:val="single" w:color="000000" w:sz="4" w:space="0"/>
              <w:right w:val="single" w:color="000000" w:sz="4" w:space="0"/>
            </w:tcBorders>
            <w:shd w:val="clear"/>
            <w:vAlign w:val="center"/>
          </w:tcPr>
          <w:p w14:paraId="4938B1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提高预算编制质量，严格执行预算，保障单位日常运转</w:t>
            </w:r>
          </w:p>
        </w:tc>
        <w:tc>
          <w:tcPr>
            <w:tcW w:w="2134" w:type="pct"/>
            <w:gridSpan w:val="4"/>
            <w:tcBorders>
              <w:top w:val="single" w:color="000000" w:sz="4" w:space="0"/>
              <w:left w:val="single" w:color="000000" w:sz="4" w:space="0"/>
              <w:bottom w:val="single" w:color="000000" w:sz="4" w:space="0"/>
              <w:right w:val="single" w:color="000000" w:sz="4" w:space="0"/>
            </w:tcBorders>
            <w:shd w:val="clear"/>
            <w:vAlign w:val="center"/>
          </w:tcPr>
          <w:p w14:paraId="5B00B9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严格执行预算，保障单位日常运转</w:t>
            </w:r>
          </w:p>
        </w:tc>
      </w:tr>
      <w:tr w14:paraId="6D507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4FCC5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2EE2E6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2.项目实施内容及过程概述</w:t>
            </w:r>
          </w:p>
        </w:tc>
        <w:tc>
          <w:tcPr>
            <w:tcW w:w="4122" w:type="pct"/>
            <w:gridSpan w:val="9"/>
            <w:tcBorders>
              <w:top w:val="single" w:color="000000" w:sz="4" w:space="0"/>
              <w:left w:val="single" w:color="000000" w:sz="4" w:space="0"/>
              <w:bottom w:val="single" w:color="000000" w:sz="4" w:space="0"/>
              <w:right w:val="single" w:color="000000" w:sz="4" w:space="0"/>
            </w:tcBorders>
            <w:shd w:val="clear"/>
            <w:vAlign w:val="center"/>
          </w:tcPr>
          <w:p w14:paraId="1DBE4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每月严格执行预算，保障单位日常运转</w:t>
            </w:r>
          </w:p>
        </w:tc>
      </w:tr>
      <w:tr w14:paraId="014D2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4EF52F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预算执行情况（10分）</w:t>
            </w: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33031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年度预算数（万元）</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5DD6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年初预算</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54861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调整后预算数</w:t>
            </w: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112C2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预算执行数</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36B9F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预算执行率</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1208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701A0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009D2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原因</w:t>
            </w:r>
          </w:p>
        </w:tc>
      </w:tr>
      <w:tr w14:paraId="5FC19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0267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4932A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总额</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3D76A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3E262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4C3BF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FB92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4E9B1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34B2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972" w:type="pct"/>
            <w:vMerge w:val="restart"/>
            <w:tcBorders>
              <w:top w:val="single" w:color="000000" w:sz="4" w:space="0"/>
              <w:left w:val="single" w:color="000000" w:sz="4" w:space="0"/>
              <w:bottom w:val="single" w:color="000000" w:sz="4" w:space="0"/>
              <w:right w:val="single" w:color="000000" w:sz="4" w:space="0"/>
            </w:tcBorders>
            <w:shd w:val="clear"/>
            <w:vAlign w:val="center"/>
          </w:tcPr>
          <w:p w14:paraId="78762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F04E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46468A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7FE7C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其中：财政资金</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0B04C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4D1B5F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77F036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A913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AAE7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A98FB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7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01C03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12CD5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D681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6A1784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财政专户管理资金</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55254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2161C5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77491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16F3D0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34295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7E94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7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52726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6C123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1713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50B73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单位资金</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CA16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392BA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14773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8CF0B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8663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3B9FB6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7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02640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4603E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49D5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4F8AF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其他资金</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87447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504448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987" w:type="pct"/>
            <w:gridSpan w:val="3"/>
            <w:tcBorders>
              <w:top w:val="single" w:color="000000" w:sz="4" w:space="0"/>
              <w:left w:val="single" w:color="000000" w:sz="4" w:space="0"/>
              <w:bottom w:val="single" w:color="000000" w:sz="4" w:space="0"/>
              <w:right w:val="single" w:color="000000" w:sz="4" w:space="0"/>
            </w:tcBorders>
            <w:shd w:val="clear"/>
            <w:vAlign w:val="center"/>
          </w:tcPr>
          <w:p w14:paraId="28A06C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2F86B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D961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7DF097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97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18911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iCs/>
                <w:color w:val="000000"/>
                <w:sz w:val="15"/>
                <w:szCs w:val="15"/>
                <w:u w:val="none"/>
              </w:rPr>
            </w:pPr>
          </w:p>
        </w:tc>
      </w:tr>
      <w:tr w14:paraId="7870E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restart"/>
            <w:tcBorders>
              <w:top w:val="single" w:color="000000" w:sz="4" w:space="0"/>
              <w:left w:val="single" w:color="000000" w:sz="4" w:space="0"/>
              <w:bottom w:val="single" w:color="000000" w:sz="4" w:space="0"/>
              <w:right w:val="single" w:color="000000" w:sz="4" w:space="0"/>
            </w:tcBorders>
            <w:shd w:val="clear"/>
            <w:vAlign w:val="center"/>
          </w:tcPr>
          <w:p w14:paraId="4BAA36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绩效指标（90分）</w:t>
            </w:r>
          </w:p>
        </w:tc>
        <w:tc>
          <w:tcPr>
            <w:tcW w:w="489" w:type="pct"/>
            <w:tcBorders>
              <w:top w:val="single" w:color="000000" w:sz="4" w:space="0"/>
              <w:left w:val="single" w:color="000000" w:sz="4" w:space="0"/>
              <w:bottom w:val="single" w:color="000000" w:sz="4" w:space="0"/>
              <w:right w:val="single" w:color="000000" w:sz="4" w:space="0"/>
            </w:tcBorders>
            <w:shd w:val="clear"/>
            <w:vAlign w:val="center"/>
          </w:tcPr>
          <w:p w14:paraId="1820D9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一级指标</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A3EA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二级指标</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3FAEBB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三级指标</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2B4CD1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指标性质</w:t>
            </w:r>
          </w:p>
        </w:tc>
        <w:tc>
          <w:tcPr>
            <w:tcW w:w="350" w:type="pct"/>
            <w:tcBorders>
              <w:top w:val="single" w:color="000000" w:sz="4" w:space="0"/>
              <w:left w:val="single" w:color="000000" w:sz="4" w:space="0"/>
              <w:bottom w:val="single" w:color="000000" w:sz="4" w:space="0"/>
              <w:right w:val="single" w:color="000000" w:sz="4" w:space="0"/>
            </w:tcBorders>
            <w:shd w:val="clear"/>
            <w:vAlign w:val="center"/>
          </w:tcPr>
          <w:p w14:paraId="40762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指标值</w:t>
            </w:r>
          </w:p>
        </w:tc>
        <w:tc>
          <w:tcPr>
            <w:tcW w:w="310" w:type="pct"/>
            <w:tcBorders>
              <w:top w:val="single" w:color="000000" w:sz="4" w:space="0"/>
              <w:left w:val="single" w:color="000000" w:sz="4" w:space="0"/>
              <w:bottom w:val="single" w:color="000000" w:sz="4" w:space="0"/>
              <w:right w:val="single" w:color="000000" w:sz="4" w:space="0"/>
            </w:tcBorders>
            <w:shd w:val="clear"/>
            <w:vAlign w:val="center"/>
          </w:tcPr>
          <w:p w14:paraId="426D8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度量单位</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0AC9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完成值</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2B8D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权重</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56E8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得分</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51B4D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未完成原因分析</w:t>
            </w:r>
          </w:p>
        </w:tc>
      </w:tr>
      <w:tr w14:paraId="06273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F551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4C4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15597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2C5A9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科目调整次数</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673E2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vAlign w:val="center"/>
          </w:tcPr>
          <w:p w14:paraId="7EF5C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310" w:type="pct"/>
            <w:tcBorders>
              <w:top w:val="single" w:color="000000" w:sz="4" w:space="0"/>
              <w:left w:val="single" w:color="000000" w:sz="4" w:space="0"/>
              <w:bottom w:val="single" w:color="000000" w:sz="4" w:space="0"/>
              <w:right w:val="single" w:color="000000" w:sz="4" w:space="0"/>
            </w:tcBorders>
            <w:shd w:val="clear"/>
            <w:vAlign w:val="center"/>
          </w:tcPr>
          <w:p w14:paraId="1C4F1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次</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F87E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42392C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7D71E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1477DE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760A5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9309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BE23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81A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质量指标</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66650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预算编制准确率（计算方法为：∣（执行数-预算数）/预算数∣）</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0E7E1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vAlign w:val="center"/>
          </w:tcPr>
          <w:p w14:paraId="0E48C3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310" w:type="pct"/>
            <w:tcBorders>
              <w:top w:val="single" w:color="000000" w:sz="4" w:space="0"/>
              <w:left w:val="single" w:color="000000" w:sz="4" w:space="0"/>
              <w:bottom w:val="single" w:color="000000" w:sz="4" w:space="0"/>
              <w:right w:val="single" w:color="000000" w:sz="4" w:space="0"/>
            </w:tcBorders>
            <w:shd w:val="clear"/>
            <w:vAlign w:val="center"/>
          </w:tcPr>
          <w:p w14:paraId="25D6F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7FEA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5</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8A996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1A905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53541C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3180A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B0ED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F04C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2D554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经济效益指标</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3A573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“三公经费”控制率[计算方法为：（三公经费实际支出数/预算安排数]×100%）</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15E3F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vAlign w:val="center"/>
          </w:tcPr>
          <w:p w14:paraId="613E4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10" w:type="pct"/>
            <w:tcBorders>
              <w:top w:val="single" w:color="000000" w:sz="4" w:space="0"/>
              <w:left w:val="single" w:color="000000" w:sz="4" w:space="0"/>
              <w:bottom w:val="single" w:color="000000" w:sz="4" w:space="0"/>
              <w:right w:val="single" w:color="000000" w:sz="4" w:space="0"/>
            </w:tcBorders>
            <w:shd w:val="clear"/>
            <w:vAlign w:val="center"/>
          </w:tcPr>
          <w:p w14:paraId="3DB13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3711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642C92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0E9C7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6D062E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33D73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745F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48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AD98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387" w:type="pct"/>
            <w:tcBorders>
              <w:top w:val="single" w:color="000000" w:sz="4" w:space="0"/>
              <w:left w:val="single" w:color="000000" w:sz="4" w:space="0"/>
              <w:bottom w:val="single" w:color="000000" w:sz="4" w:space="0"/>
              <w:right w:val="single" w:color="000000" w:sz="4" w:space="0"/>
            </w:tcBorders>
            <w:shd w:val="clear"/>
            <w:vAlign w:val="center"/>
          </w:tcPr>
          <w:p w14:paraId="4B714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社会效益指标</w:t>
            </w:r>
          </w:p>
        </w:tc>
        <w:tc>
          <w:tcPr>
            <w:tcW w:w="612" w:type="pct"/>
            <w:tcBorders>
              <w:top w:val="single" w:color="000000" w:sz="4" w:space="0"/>
              <w:left w:val="single" w:color="000000" w:sz="4" w:space="0"/>
              <w:bottom w:val="single" w:color="000000" w:sz="4" w:space="0"/>
              <w:right w:val="single" w:color="000000" w:sz="4" w:space="0"/>
            </w:tcBorders>
            <w:shd w:val="clear"/>
            <w:vAlign w:val="center"/>
          </w:tcPr>
          <w:p w14:paraId="57B55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运转保障率</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2B3A25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vAlign w:val="center"/>
          </w:tcPr>
          <w:p w14:paraId="3484FD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10" w:type="pct"/>
            <w:tcBorders>
              <w:top w:val="single" w:color="000000" w:sz="4" w:space="0"/>
              <w:left w:val="single" w:color="000000" w:sz="4" w:space="0"/>
              <w:bottom w:val="single" w:color="000000" w:sz="4" w:space="0"/>
              <w:right w:val="single" w:color="000000" w:sz="4" w:space="0"/>
            </w:tcBorders>
            <w:shd w:val="clear"/>
            <w:vAlign w:val="center"/>
          </w:tcPr>
          <w:p w14:paraId="562A5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2D22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79AEE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59DF1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6818AA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iCs/>
                <w:color w:val="000000"/>
                <w:sz w:val="15"/>
                <w:szCs w:val="15"/>
                <w:u w:val="none"/>
              </w:rPr>
            </w:pPr>
          </w:p>
        </w:tc>
      </w:tr>
      <w:tr w14:paraId="7DD7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59" w:type="pct"/>
            <w:gridSpan w:val="8"/>
            <w:tcBorders>
              <w:top w:val="single" w:color="000000" w:sz="4" w:space="0"/>
              <w:left w:val="single" w:color="000000" w:sz="4" w:space="0"/>
              <w:bottom w:val="single" w:color="000000" w:sz="4" w:space="0"/>
              <w:right w:val="single" w:color="000000" w:sz="4" w:space="0"/>
            </w:tcBorders>
            <w:shd w:val="clear"/>
            <w:vAlign w:val="center"/>
          </w:tcPr>
          <w:p w14:paraId="74CE7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合计</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040961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vAlign w:val="center"/>
          </w:tcPr>
          <w:p w14:paraId="27C73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972" w:type="pct"/>
            <w:tcBorders>
              <w:top w:val="single" w:color="000000" w:sz="4" w:space="0"/>
              <w:left w:val="single" w:color="000000" w:sz="4" w:space="0"/>
              <w:bottom w:val="single" w:color="000000" w:sz="4" w:space="0"/>
              <w:right w:val="single" w:color="000000" w:sz="4" w:space="0"/>
            </w:tcBorders>
            <w:shd w:val="clear"/>
            <w:vAlign w:val="center"/>
          </w:tcPr>
          <w:p w14:paraId="7F1B4AF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14:paraId="5602D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tcBorders>
              <w:top w:val="single" w:color="000000" w:sz="4" w:space="0"/>
              <w:left w:val="single" w:color="000000" w:sz="4" w:space="0"/>
              <w:bottom w:val="single" w:color="000000" w:sz="4" w:space="0"/>
              <w:right w:val="single" w:color="000000" w:sz="4" w:space="0"/>
            </w:tcBorders>
            <w:shd w:val="clear"/>
            <w:vAlign w:val="center"/>
          </w:tcPr>
          <w:p w14:paraId="38705A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评价结论</w:t>
            </w:r>
          </w:p>
        </w:tc>
        <w:tc>
          <w:tcPr>
            <w:tcW w:w="4612" w:type="pct"/>
            <w:gridSpan w:val="10"/>
            <w:tcBorders>
              <w:top w:val="single" w:color="000000" w:sz="4" w:space="0"/>
              <w:left w:val="single" w:color="000000" w:sz="4" w:space="0"/>
              <w:bottom w:val="single" w:color="000000" w:sz="4" w:space="0"/>
              <w:right w:val="single" w:color="000000" w:sz="4" w:space="0"/>
            </w:tcBorders>
            <w:shd w:val="clear"/>
            <w:vAlign w:val="center"/>
          </w:tcPr>
          <w:p w14:paraId="61B7D3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严格执行预算，保障单位日常运转</w:t>
            </w:r>
          </w:p>
        </w:tc>
      </w:tr>
      <w:tr w14:paraId="30AEB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tcBorders>
              <w:top w:val="single" w:color="000000" w:sz="4" w:space="0"/>
              <w:left w:val="single" w:color="000000" w:sz="4" w:space="0"/>
              <w:bottom w:val="single" w:color="000000" w:sz="4" w:space="0"/>
              <w:right w:val="single" w:color="000000" w:sz="4" w:space="0"/>
            </w:tcBorders>
            <w:shd w:val="clear"/>
            <w:vAlign w:val="center"/>
          </w:tcPr>
          <w:p w14:paraId="12AA5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存在问题</w:t>
            </w:r>
          </w:p>
        </w:tc>
        <w:tc>
          <w:tcPr>
            <w:tcW w:w="4612" w:type="pct"/>
            <w:gridSpan w:val="10"/>
            <w:tcBorders>
              <w:top w:val="single" w:color="000000" w:sz="4" w:space="0"/>
              <w:left w:val="single" w:color="000000" w:sz="4" w:space="0"/>
              <w:bottom w:val="single" w:color="000000" w:sz="4" w:space="0"/>
              <w:right w:val="single" w:color="000000" w:sz="4" w:space="0"/>
            </w:tcBorders>
            <w:shd w:val="clear"/>
            <w:vAlign w:val="center"/>
          </w:tcPr>
          <w:p w14:paraId="037AD9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7BF64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 w:type="pct"/>
            <w:tcBorders>
              <w:top w:val="single" w:color="000000" w:sz="4" w:space="0"/>
              <w:left w:val="single" w:color="000000" w:sz="4" w:space="0"/>
              <w:bottom w:val="single" w:color="000000" w:sz="4" w:space="0"/>
              <w:right w:val="single" w:color="000000" w:sz="4" w:space="0"/>
            </w:tcBorders>
            <w:shd w:val="clear"/>
            <w:vAlign w:val="center"/>
          </w:tcPr>
          <w:p w14:paraId="44BE8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改进措施</w:t>
            </w:r>
          </w:p>
        </w:tc>
        <w:tc>
          <w:tcPr>
            <w:tcW w:w="4612" w:type="pct"/>
            <w:gridSpan w:val="10"/>
            <w:tcBorders>
              <w:top w:val="single" w:color="000000" w:sz="4" w:space="0"/>
              <w:left w:val="single" w:color="000000" w:sz="4" w:space="0"/>
              <w:bottom w:val="single" w:color="000000" w:sz="4" w:space="0"/>
              <w:right w:val="single" w:color="000000" w:sz="4" w:space="0"/>
            </w:tcBorders>
            <w:shd w:val="clear"/>
            <w:vAlign w:val="center"/>
          </w:tcPr>
          <w:p w14:paraId="1DB5DD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iCs/>
                <w:color w:val="000000"/>
                <w:sz w:val="15"/>
                <w:szCs w:val="15"/>
                <w:u w:val="none"/>
              </w:rPr>
            </w:pPr>
            <w:r>
              <w:rPr>
                <w:rFonts w:hint="eastAsia" w:ascii="宋体" w:hAnsi="宋体" w:eastAsia="宋体" w:cs="宋体"/>
                <w:i/>
                <w:iCs/>
                <w:color w:val="000000"/>
                <w:kern w:val="0"/>
                <w:sz w:val="15"/>
                <w:szCs w:val="15"/>
                <w:u w:val="none"/>
                <w:bdr w:val="none" w:color="auto" w:sz="0" w:space="0"/>
                <w:lang w:val="en-US" w:eastAsia="zh-CN" w:bidi="ar"/>
              </w:rPr>
              <w:t>无</w:t>
            </w:r>
          </w:p>
        </w:tc>
      </w:tr>
      <w:tr w14:paraId="3AA89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04" w:type="pct"/>
            <w:gridSpan w:val="5"/>
            <w:tcBorders>
              <w:top w:val="single" w:color="000000" w:sz="4" w:space="0"/>
              <w:left w:val="single" w:color="000000" w:sz="4" w:space="0"/>
              <w:bottom w:val="single" w:color="000000" w:sz="4" w:space="0"/>
              <w:right w:val="single" w:color="000000" w:sz="4" w:space="0"/>
            </w:tcBorders>
            <w:shd w:val="clear"/>
            <w:vAlign w:val="center"/>
          </w:tcPr>
          <w:p w14:paraId="4ED286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项目负责人：张颖</w:t>
            </w:r>
          </w:p>
        </w:tc>
        <w:tc>
          <w:tcPr>
            <w:tcW w:w="2795" w:type="pct"/>
            <w:gridSpan w:val="6"/>
            <w:tcBorders>
              <w:top w:val="single" w:color="000000" w:sz="4" w:space="0"/>
              <w:left w:val="single" w:color="000000" w:sz="4" w:space="0"/>
              <w:bottom w:val="single" w:color="000000" w:sz="4" w:space="0"/>
              <w:right w:val="single" w:color="000000" w:sz="4" w:space="0"/>
            </w:tcBorders>
            <w:shd w:val="clear"/>
            <w:vAlign w:val="center"/>
          </w:tcPr>
          <w:p w14:paraId="7A2EB3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财务负责人：冯亮</w:t>
            </w:r>
          </w:p>
        </w:tc>
      </w:tr>
    </w:tbl>
    <w:p w14:paraId="4003683E">
      <w:pPr>
        <w:pStyle w:val="5"/>
        <w:sectPr>
          <w:pgSz w:w="16838" w:h="11906" w:orient="landscape"/>
          <w:pgMar w:top="1800" w:right="1440" w:bottom="1800" w:left="1440" w:header="720" w:footer="720" w:gutter="0"/>
          <w:pgNumType w:fmt="numberInDash"/>
          <w:cols w:space="720" w:num="1"/>
          <w:docGrid w:type="lines" w:linePitch="312" w:charSpace="0"/>
        </w:sectPr>
      </w:pPr>
    </w:p>
    <w:p w14:paraId="483FC8FA">
      <w:pPr>
        <w:tabs>
          <w:tab w:val="left" w:pos="1911"/>
        </w:tabs>
        <w:jc w:val="center"/>
        <w:rPr>
          <w:rStyle w:val="20"/>
          <w:rFonts w:hint="eastAsia" w:ascii="黑体" w:hAnsi="黑体" w:eastAsia="黑体"/>
          <w:b w:val="0"/>
        </w:rPr>
      </w:pPr>
      <w:r>
        <w:rPr>
          <w:rFonts w:hint="eastAsia" w:ascii="黑体" w:hAnsi="黑体" w:eastAsia="黑体"/>
          <w:sz w:val="44"/>
          <w:szCs w:val="44"/>
        </w:rPr>
        <w:t>第</w:t>
      </w:r>
      <w:r>
        <w:rPr>
          <w:rStyle w:val="20"/>
          <w:rFonts w:hint="eastAsia" w:ascii="黑体" w:hAnsi="黑体" w:eastAsia="黑体"/>
          <w:b w:val="0"/>
        </w:rPr>
        <w:t>五部分 附表</w:t>
      </w:r>
      <w:bookmarkEnd w:id="74"/>
      <w:bookmarkEnd w:id="78"/>
      <w:bookmarkStart w:id="79" w:name="_Toc15396619"/>
    </w:p>
    <w:p w14:paraId="0247D0A8">
      <w:pPr>
        <w:tabs>
          <w:tab w:val="left" w:pos="1911"/>
        </w:tabs>
        <w:jc w:val="left"/>
        <w:rPr>
          <w:rStyle w:val="21"/>
          <w:rFonts w:hint="eastAsia" w:ascii="仿宋_GB2312" w:hAnsi="仿宋_GB2312" w:eastAsia="仿宋_GB2312" w:cs="仿宋_GB2312"/>
          <w:b w:val="0"/>
          <w:bCs w:val="0"/>
          <w:kern w:val="2"/>
          <w:lang w:val="en-US" w:eastAsia="zh-CN" w:bidi="ar-SA"/>
        </w:rPr>
      </w:pPr>
    </w:p>
    <w:p w14:paraId="7D1E9345">
      <w:pPr>
        <w:tabs>
          <w:tab w:val="left" w:pos="1911"/>
        </w:tabs>
        <w:jc w:val="left"/>
        <w:rPr>
          <w:rStyle w:val="21"/>
          <w:rFonts w:hint="eastAsia" w:ascii="仿宋_GB2312" w:hAnsi="仿宋_GB2312" w:eastAsia="仿宋_GB2312" w:cs="仿宋_GB2312"/>
          <w:b w:val="0"/>
          <w:bCs w:val="0"/>
          <w:kern w:val="2"/>
          <w:lang w:val="en-US" w:eastAsia="zh-CN" w:bidi="ar-SA"/>
        </w:rPr>
      </w:pPr>
      <w:bookmarkStart w:id="80" w:name="_Toc14632"/>
      <w:r>
        <w:rPr>
          <w:rStyle w:val="21"/>
          <w:rFonts w:hint="eastAsia" w:ascii="仿宋_GB2312" w:hAnsi="仿宋_GB2312" w:eastAsia="仿宋_GB2312" w:cs="仿宋_GB2312"/>
          <w:b w:val="0"/>
          <w:bCs w:val="0"/>
          <w:kern w:val="2"/>
          <w:lang w:val="en-US" w:eastAsia="zh-CN" w:bidi="ar-SA"/>
        </w:rPr>
        <w:t>一、收入支出决算总表</w:t>
      </w:r>
      <w:bookmarkEnd w:id="79"/>
    </w:p>
    <w:bookmarkEnd w:id="80"/>
    <w:p w14:paraId="37904A52">
      <w:pPr>
        <w:pStyle w:val="3"/>
        <w:rPr>
          <w:rFonts w:hint="eastAsia" w:ascii="仿宋_GB2312" w:hAnsi="仿宋_GB2312" w:eastAsia="仿宋_GB2312" w:cs="仿宋_GB2312"/>
        </w:rPr>
      </w:pPr>
      <w:bookmarkStart w:id="81" w:name="_Toc15396620"/>
      <w:bookmarkStart w:id="82" w:name="_Toc18475"/>
      <w:r>
        <w:rPr>
          <w:rFonts w:hint="eastAsia" w:ascii="仿宋_GB2312" w:hAnsi="仿宋_GB2312" w:eastAsia="仿宋_GB2312" w:cs="仿宋_GB2312"/>
          <w:b w:val="0"/>
        </w:rPr>
        <w:t>二、收</w:t>
      </w:r>
      <w:r>
        <w:rPr>
          <w:rStyle w:val="21"/>
          <w:rFonts w:hint="eastAsia" w:ascii="仿宋_GB2312" w:hAnsi="仿宋_GB2312" w:eastAsia="仿宋_GB2312" w:cs="仿宋_GB2312"/>
          <w:b w:val="0"/>
          <w:bCs w:val="0"/>
        </w:rPr>
        <w:t>入决算表</w:t>
      </w:r>
      <w:bookmarkEnd w:id="81"/>
      <w:bookmarkEnd w:id="82"/>
    </w:p>
    <w:p w14:paraId="2826198B">
      <w:pPr>
        <w:pStyle w:val="3"/>
        <w:rPr>
          <w:rFonts w:hint="eastAsia" w:ascii="仿宋_GB2312" w:hAnsi="仿宋_GB2312" w:eastAsia="仿宋_GB2312" w:cs="仿宋_GB2312"/>
        </w:rPr>
      </w:pPr>
      <w:bookmarkStart w:id="83" w:name="_Toc20143"/>
      <w:bookmarkStart w:id="84" w:name="_Toc15396621"/>
      <w:r>
        <w:rPr>
          <w:rStyle w:val="21"/>
          <w:rFonts w:hint="eastAsia" w:ascii="仿宋_GB2312" w:hAnsi="仿宋_GB2312" w:eastAsia="仿宋_GB2312" w:cs="仿宋_GB2312"/>
          <w:b w:val="0"/>
          <w:bCs w:val="0"/>
        </w:rPr>
        <w:t>三、</w:t>
      </w:r>
      <w:r>
        <w:rPr>
          <w:rFonts w:hint="eastAsia" w:ascii="仿宋_GB2312" w:hAnsi="仿宋_GB2312" w:eastAsia="仿宋_GB2312" w:cs="仿宋_GB2312"/>
          <w:b w:val="0"/>
        </w:rPr>
        <w:t>支</w:t>
      </w:r>
      <w:r>
        <w:rPr>
          <w:rStyle w:val="21"/>
          <w:rFonts w:hint="eastAsia" w:ascii="仿宋_GB2312" w:hAnsi="仿宋_GB2312" w:eastAsia="仿宋_GB2312" w:cs="仿宋_GB2312"/>
          <w:b w:val="0"/>
          <w:bCs w:val="0"/>
        </w:rPr>
        <w:t>出决算表</w:t>
      </w:r>
      <w:bookmarkEnd w:id="83"/>
      <w:bookmarkEnd w:id="84"/>
    </w:p>
    <w:p w14:paraId="758EAE84">
      <w:pPr>
        <w:pStyle w:val="3"/>
        <w:rPr>
          <w:rFonts w:hint="eastAsia" w:ascii="仿宋_GB2312" w:hAnsi="仿宋_GB2312" w:eastAsia="仿宋_GB2312" w:cs="仿宋_GB2312"/>
          <w:b w:val="0"/>
        </w:rPr>
      </w:pPr>
      <w:bookmarkStart w:id="85" w:name="_Toc15396622"/>
      <w:bookmarkStart w:id="86" w:name="_Toc15976"/>
      <w:r>
        <w:rPr>
          <w:rStyle w:val="21"/>
          <w:rFonts w:hint="eastAsia" w:ascii="仿宋_GB2312" w:hAnsi="仿宋_GB2312" w:eastAsia="仿宋_GB2312" w:cs="仿宋_GB2312"/>
          <w:b w:val="0"/>
          <w:bCs w:val="0"/>
        </w:rPr>
        <w:t>四、</w:t>
      </w:r>
      <w:r>
        <w:rPr>
          <w:rFonts w:hint="eastAsia" w:ascii="仿宋_GB2312" w:hAnsi="仿宋_GB2312" w:eastAsia="仿宋_GB2312" w:cs="仿宋_GB2312"/>
          <w:b w:val="0"/>
        </w:rPr>
        <w:t>财</w:t>
      </w:r>
      <w:r>
        <w:rPr>
          <w:rStyle w:val="21"/>
          <w:rFonts w:hint="eastAsia" w:ascii="仿宋_GB2312" w:hAnsi="仿宋_GB2312" w:eastAsia="仿宋_GB2312" w:cs="仿宋_GB2312"/>
          <w:b w:val="0"/>
          <w:bCs w:val="0"/>
        </w:rPr>
        <w:t>政拨款收入支出决算总表</w:t>
      </w:r>
      <w:bookmarkEnd w:id="85"/>
      <w:bookmarkEnd w:id="86"/>
    </w:p>
    <w:p w14:paraId="74D826B9">
      <w:pPr>
        <w:pStyle w:val="3"/>
        <w:rPr>
          <w:rStyle w:val="21"/>
          <w:rFonts w:hint="eastAsia" w:ascii="仿宋_GB2312" w:hAnsi="仿宋_GB2312" w:eastAsia="仿宋_GB2312" w:cs="仿宋_GB2312"/>
          <w:b w:val="0"/>
          <w:bCs w:val="0"/>
        </w:rPr>
      </w:pPr>
      <w:bookmarkStart w:id="87" w:name="_Toc15396623"/>
      <w:bookmarkStart w:id="88" w:name="_Toc19361"/>
      <w:r>
        <w:rPr>
          <w:rStyle w:val="21"/>
          <w:rFonts w:hint="eastAsia" w:ascii="仿宋_GB2312" w:hAnsi="仿宋_GB2312" w:eastAsia="仿宋_GB2312" w:cs="仿宋_GB2312"/>
          <w:b w:val="0"/>
          <w:bCs w:val="0"/>
        </w:rPr>
        <w:t>五、</w:t>
      </w:r>
      <w:r>
        <w:rPr>
          <w:rFonts w:hint="eastAsia" w:ascii="仿宋_GB2312" w:hAnsi="仿宋_GB2312" w:eastAsia="仿宋_GB2312" w:cs="仿宋_GB2312"/>
          <w:b w:val="0"/>
        </w:rPr>
        <w:t>财</w:t>
      </w:r>
      <w:r>
        <w:rPr>
          <w:rStyle w:val="21"/>
          <w:rFonts w:hint="eastAsia" w:ascii="仿宋_GB2312" w:hAnsi="仿宋_GB2312" w:eastAsia="仿宋_GB2312" w:cs="仿宋_GB2312"/>
          <w:b w:val="0"/>
          <w:bCs w:val="0"/>
        </w:rPr>
        <w:t>政拨款支出决算明细表</w:t>
      </w:r>
      <w:bookmarkEnd w:id="87"/>
      <w:bookmarkEnd w:id="88"/>
      <w:bookmarkStart w:id="89" w:name="_Toc15396624"/>
    </w:p>
    <w:p w14:paraId="2EA437A4">
      <w:pPr>
        <w:pStyle w:val="3"/>
        <w:rPr>
          <w:rFonts w:hint="eastAsia" w:ascii="仿宋_GB2312" w:hAnsi="仿宋_GB2312" w:eastAsia="仿宋_GB2312" w:cs="仿宋_GB2312"/>
        </w:rPr>
      </w:pPr>
      <w:bookmarkStart w:id="90" w:name="_Toc7224"/>
      <w:r>
        <w:rPr>
          <w:rStyle w:val="21"/>
          <w:rFonts w:hint="eastAsia" w:ascii="仿宋_GB2312" w:hAnsi="仿宋_GB2312" w:eastAsia="仿宋_GB2312" w:cs="仿宋_GB2312"/>
          <w:b w:val="0"/>
          <w:bCs w:val="0"/>
        </w:rPr>
        <w:t>六、</w:t>
      </w:r>
      <w:r>
        <w:rPr>
          <w:rFonts w:hint="eastAsia" w:ascii="仿宋_GB2312" w:hAnsi="仿宋_GB2312" w:eastAsia="仿宋_GB2312" w:cs="仿宋_GB2312"/>
          <w:b w:val="0"/>
        </w:rPr>
        <w:t>一</w:t>
      </w:r>
      <w:r>
        <w:rPr>
          <w:rStyle w:val="21"/>
          <w:rFonts w:hint="eastAsia" w:ascii="仿宋_GB2312" w:hAnsi="仿宋_GB2312" w:eastAsia="仿宋_GB2312" w:cs="仿宋_GB2312"/>
          <w:b w:val="0"/>
          <w:bCs w:val="0"/>
        </w:rPr>
        <w:t>般公共预算财政拨款支出决算表</w:t>
      </w:r>
      <w:bookmarkEnd w:id="89"/>
      <w:bookmarkEnd w:id="90"/>
    </w:p>
    <w:p w14:paraId="3D58DB5E">
      <w:pPr>
        <w:pStyle w:val="3"/>
        <w:rPr>
          <w:rFonts w:hint="eastAsia" w:ascii="仿宋_GB2312" w:hAnsi="仿宋_GB2312" w:eastAsia="仿宋_GB2312" w:cs="仿宋_GB2312"/>
        </w:rPr>
      </w:pPr>
      <w:bookmarkStart w:id="91" w:name="_Toc15396625"/>
      <w:bookmarkStart w:id="92" w:name="_Toc22876"/>
      <w:r>
        <w:rPr>
          <w:rStyle w:val="21"/>
          <w:rFonts w:hint="eastAsia" w:ascii="仿宋_GB2312" w:hAnsi="仿宋_GB2312" w:eastAsia="仿宋_GB2312" w:cs="仿宋_GB2312"/>
          <w:b w:val="0"/>
          <w:bCs w:val="0"/>
        </w:rPr>
        <w:t>七、</w:t>
      </w:r>
      <w:r>
        <w:rPr>
          <w:rFonts w:hint="eastAsia" w:ascii="仿宋_GB2312" w:hAnsi="仿宋_GB2312" w:eastAsia="仿宋_GB2312" w:cs="仿宋_GB2312"/>
          <w:b w:val="0"/>
        </w:rPr>
        <w:t>一</w:t>
      </w:r>
      <w:r>
        <w:rPr>
          <w:rStyle w:val="21"/>
          <w:rFonts w:hint="eastAsia" w:ascii="仿宋_GB2312" w:hAnsi="仿宋_GB2312" w:eastAsia="仿宋_GB2312" w:cs="仿宋_GB2312"/>
          <w:b w:val="0"/>
          <w:bCs w:val="0"/>
        </w:rPr>
        <w:t>般公共预算财政拨款支出决算明细表</w:t>
      </w:r>
      <w:bookmarkEnd w:id="91"/>
      <w:bookmarkEnd w:id="92"/>
    </w:p>
    <w:p w14:paraId="1E1E2A0D">
      <w:pPr>
        <w:pStyle w:val="3"/>
        <w:rPr>
          <w:rFonts w:hint="eastAsia" w:ascii="仿宋_GB2312" w:hAnsi="仿宋_GB2312" w:eastAsia="仿宋_GB2312" w:cs="仿宋_GB2312"/>
        </w:rPr>
      </w:pPr>
      <w:bookmarkStart w:id="93" w:name="_Toc15396626"/>
      <w:bookmarkStart w:id="94" w:name="_Toc3621"/>
      <w:r>
        <w:rPr>
          <w:rStyle w:val="21"/>
          <w:rFonts w:hint="eastAsia" w:ascii="仿宋_GB2312" w:hAnsi="仿宋_GB2312" w:eastAsia="仿宋_GB2312" w:cs="仿宋_GB2312"/>
          <w:b w:val="0"/>
          <w:bCs w:val="0"/>
        </w:rPr>
        <w:t>八、</w:t>
      </w:r>
      <w:r>
        <w:rPr>
          <w:rFonts w:hint="eastAsia" w:ascii="仿宋_GB2312" w:hAnsi="仿宋_GB2312" w:eastAsia="仿宋_GB2312" w:cs="仿宋_GB2312"/>
          <w:b w:val="0"/>
        </w:rPr>
        <w:t>一</w:t>
      </w:r>
      <w:r>
        <w:rPr>
          <w:rStyle w:val="21"/>
          <w:rFonts w:hint="eastAsia" w:ascii="仿宋_GB2312" w:hAnsi="仿宋_GB2312" w:eastAsia="仿宋_GB2312" w:cs="仿宋_GB2312"/>
          <w:b w:val="0"/>
          <w:bCs w:val="0"/>
        </w:rPr>
        <w:t>般公共预算财政拨款基本支出决算表</w:t>
      </w:r>
      <w:bookmarkEnd w:id="93"/>
      <w:bookmarkEnd w:id="94"/>
    </w:p>
    <w:p w14:paraId="2476165A">
      <w:pPr>
        <w:pStyle w:val="3"/>
        <w:rPr>
          <w:rFonts w:hint="eastAsia" w:ascii="仿宋_GB2312" w:hAnsi="仿宋_GB2312" w:eastAsia="仿宋_GB2312" w:cs="仿宋_GB2312"/>
        </w:rPr>
      </w:pPr>
      <w:bookmarkStart w:id="95" w:name="_Toc95"/>
      <w:bookmarkStart w:id="96" w:name="_Toc15396627"/>
      <w:r>
        <w:rPr>
          <w:rStyle w:val="21"/>
          <w:rFonts w:hint="eastAsia" w:ascii="仿宋_GB2312" w:hAnsi="仿宋_GB2312" w:eastAsia="仿宋_GB2312" w:cs="仿宋_GB2312"/>
          <w:b w:val="0"/>
          <w:bCs w:val="0"/>
        </w:rPr>
        <w:t>九、</w:t>
      </w:r>
      <w:r>
        <w:rPr>
          <w:rFonts w:hint="eastAsia" w:ascii="仿宋_GB2312" w:hAnsi="仿宋_GB2312" w:eastAsia="仿宋_GB2312" w:cs="仿宋_GB2312"/>
          <w:b w:val="0"/>
        </w:rPr>
        <w:t>一</w:t>
      </w:r>
      <w:r>
        <w:rPr>
          <w:rStyle w:val="21"/>
          <w:rFonts w:hint="eastAsia" w:ascii="仿宋_GB2312" w:hAnsi="仿宋_GB2312" w:eastAsia="仿宋_GB2312" w:cs="仿宋_GB2312"/>
          <w:b w:val="0"/>
          <w:bCs w:val="0"/>
        </w:rPr>
        <w:t>般公共预算财政拨款项目支出决算表</w:t>
      </w:r>
      <w:bookmarkEnd w:id="95"/>
      <w:bookmarkEnd w:id="96"/>
    </w:p>
    <w:p w14:paraId="385D7319">
      <w:pPr>
        <w:pStyle w:val="3"/>
        <w:rPr>
          <w:rFonts w:hint="eastAsia" w:ascii="仿宋_GB2312" w:hAnsi="仿宋_GB2312" w:eastAsia="仿宋_GB2312" w:cs="仿宋_GB2312"/>
        </w:rPr>
      </w:pPr>
      <w:bookmarkStart w:id="97" w:name="_Toc15396628"/>
      <w:bookmarkStart w:id="98" w:name="_Toc14432"/>
      <w:r>
        <w:rPr>
          <w:rStyle w:val="21"/>
          <w:rFonts w:hint="eastAsia" w:ascii="仿宋_GB2312" w:hAnsi="仿宋_GB2312" w:eastAsia="仿宋_GB2312" w:cs="仿宋_GB2312"/>
          <w:b w:val="0"/>
          <w:bCs w:val="0"/>
        </w:rPr>
        <w:t>十、</w:t>
      </w:r>
      <w:bookmarkEnd w:id="97"/>
      <w:r>
        <w:rPr>
          <w:rFonts w:hint="eastAsia" w:ascii="仿宋_GB2312" w:hAnsi="仿宋_GB2312" w:eastAsia="仿宋_GB2312" w:cs="仿宋_GB2312"/>
          <w:b w:val="0"/>
        </w:rPr>
        <w:t>政</w:t>
      </w:r>
      <w:r>
        <w:rPr>
          <w:rStyle w:val="21"/>
          <w:rFonts w:hint="eastAsia" w:ascii="仿宋_GB2312" w:hAnsi="仿宋_GB2312" w:eastAsia="仿宋_GB2312" w:cs="仿宋_GB2312"/>
          <w:b w:val="0"/>
          <w:bCs w:val="0"/>
        </w:rPr>
        <w:t>府性基金预算财政拨款收入支出决算表</w:t>
      </w:r>
      <w:bookmarkEnd w:id="98"/>
    </w:p>
    <w:p w14:paraId="4EF4829F">
      <w:pPr>
        <w:pStyle w:val="3"/>
        <w:rPr>
          <w:rFonts w:hint="eastAsia" w:ascii="仿宋_GB2312" w:hAnsi="仿宋_GB2312" w:eastAsia="仿宋_GB2312" w:cs="仿宋_GB2312"/>
        </w:rPr>
      </w:pPr>
      <w:bookmarkStart w:id="99" w:name="_Toc15396629"/>
      <w:bookmarkStart w:id="100" w:name="_Toc25341"/>
      <w:r>
        <w:rPr>
          <w:rStyle w:val="21"/>
          <w:rFonts w:hint="eastAsia" w:ascii="仿宋_GB2312" w:hAnsi="仿宋_GB2312" w:eastAsia="仿宋_GB2312" w:cs="仿宋_GB2312"/>
          <w:b w:val="0"/>
          <w:bCs w:val="0"/>
        </w:rPr>
        <w:t>十一、</w:t>
      </w:r>
      <w:bookmarkEnd w:id="99"/>
      <w:r>
        <w:rPr>
          <w:rFonts w:hint="eastAsia" w:ascii="仿宋_GB2312" w:hAnsi="仿宋_GB2312" w:eastAsia="仿宋_GB2312" w:cs="仿宋_GB2312"/>
          <w:b w:val="0"/>
        </w:rPr>
        <w:t>国</w:t>
      </w:r>
      <w:r>
        <w:rPr>
          <w:rStyle w:val="21"/>
          <w:rFonts w:hint="eastAsia" w:ascii="仿宋_GB2312" w:hAnsi="仿宋_GB2312" w:eastAsia="仿宋_GB2312" w:cs="仿宋_GB2312"/>
          <w:b w:val="0"/>
          <w:bCs w:val="0"/>
        </w:rPr>
        <w:t>有资本经营预算财政拨款收入支出决算表</w:t>
      </w:r>
      <w:bookmarkEnd w:id="100"/>
    </w:p>
    <w:p w14:paraId="249596AF">
      <w:pPr>
        <w:pStyle w:val="3"/>
        <w:rPr>
          <w:rFonts w:hint="eastAsia" w:ascii="仿宋_GB2312" w:hAnsi="仿宋_GB2312" w:eastAsia="仿宋_GB2312" w:cs="仿宋_GB2312"/>
        </w:rPr>
      </w:pPr>
      <w:bookmarkStart w:id="101" w:name="_Toc15396630"/>
      <w:bookmarkStart w:id="102" w:name="_Toc12087"/>
      <w:r>
        <w:rPr>
          <w:rStyle w:val="21"/>
          <w:rFonts w:hint="eastAsia" w:ascii="仿宋_GB2312" w:hAnsi="仿宋_GB2312" w:eastAsia="仿宋_GB2312" w:cs="仿宋_GB2312"/>
          <w:b w:val="0"/>
          <w:bCs w:val="0"/>
        </w:rPr>
        <w:t>十二、</w:t>
      </w:r>
      <w:bookmarkEnd w:id="101"/>
      <w:r>
        <w:rPr>
          <w:rStyle w:val="21"/>
          <w:rFonts w:hint="eastAsia" w:ascii="仿宋_GB2312" w:hAnsi="仿宋_GB2312" w:eastAsia="仿宋_GB2312" w:cs="仿宋_GB2312"/>
          <w:b w:val="0"/>
          <w:bCs w:val="0"/>
        </w:rPr>
        <w:t>国有资本经营预算财政拨款支出决算表</w:t>
      </w:r>
      <w:bookmarkEnd w:id="102"/>
    </w:p>
    <w:p w14:paraId="13073AD8">
      <w:pPr>
        <w:pStyle w:val="3"/>
        <w:rPr>
          <w:rStyle w:val="21"/>
          <w:rFonts w:hint="eastAsia" w:ascii="仿宋_GB2312" w:hAnsi="仿宋_GB2312" w:eastAsia="仿宋_GB2312" w:cs="仿宋_GB2312"/>
          <w:b w:val="0"/>
          <w:bCs w:val="0"/>
        </w:rPr>
      </w:pPr>
      <w:bookmarkStart w:id="103" w:name="_Toc15396631"/>
      <w:bookmarkStart w:id="104" w:name="_Toc23178"/>
      <w:r>
        <w:rPr>
          <w:rStyle w:val="21"/>
          <w:rFonts w:hint="eastAsia" w:ascii="仿宋_GB2312" w:hAnsi="仿宋_GB2312" w:eastAsia="仿宋_GB2312" w:cs="仿宋_GB2312"/>
          <w:b w:val="0"/>
          <w:bCs w:val="0"/>
        </w:rPr>
        <w:t>十三、</w:t>
      </w:r>
      <w:bookmarkEnd w:id="103"/>
      <w:r>
        <w:rPr>
          <w:rStyle w:val="21"/>
          <w:rFonts w:hint="eastAsia" w:ascii="仿宋_GB2312" w:hAnsi="仿宋_GB2312" w:eastAsia="仿宋_GB2312" w:cs="仿宋_GB2312"/>
          <w:b w:val="0"/>
          <w:bCs w:val="0"/>
        </w:rPr>
        <w:t>财政拨款“三公”经费支出决算表</w:t>
      </w:r>
      <w:bookmarkEnd w:id="104"/>
    </w:p>
    <w:p w14:paraId="0198BF6C">
      <w:pPr>
        <w:rPr>
          <w:rFonts w:hint="eastAsia" w:ascii="仿宋_GB2312" w:hAnsi="仿宋_GB2312" w:eastAsia="仿宋_GB2312" w:cs="仿宋_GB2312"/>
        </w:rPr>
      </w:pPr>
    </w:p>
    <w:sectPr>
      <w:pgSz w:w="11906" w:h="16838"/>
      <w:pgMar w:top="1440" w:right="1800" w:bottom="1440" w:left="1800" w:header="720" w:footer="720"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F9FF35-AC5E-41C6-897E-643BD3F3A64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8CBE9732-139D-41D6-9650-78778E07E479}"/>
  </w:font>
  <w:font w:name="Cambria">
    <w:panose1 w:val="02040503050406030204"/>
    <w:charset w:val="00"/>
    <w:family w:val="roman"/>
    <w:pitch w:val="default"/>
    <w:sig w:usb0="E00002FF" w:usb1="400004FF" w:usb2="00000000" w:usb3="00000000" w:csb0="2000019F" w:csb1="00000000"/>
    <w:embedRegular r:id="rId3" w:fontKey="{5908AF7B-29E3-4B6B-86D3-38AFCFBE95E9}"/>
  </w:font>
  <w:font w:name="仿宋">
    <w:panose1 w:val="02010609060101010101"/>
    <w:charset w:val="86"/>
    <w:family w:val="modern"/>
    <w:pitch w:val="default"/>
    <w:sig w:usb0="800002BF" w:usb1="38CF7CFA" w:usb2="00000016" w:usb3="00000000" w:csb0="00040001" w:csb1="00000000"/>
    <w:embedRegular r:id="rId4" w:fontKey="{430C27D2-0C12-4209-90A9-961E210010EC}"/>
  </w:font>
  <w:font w:name="Liberation Sans">
    <w:altName w:val="华文中宋"/>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
    <w:altName w:val="Mangal"/>
    <w:panose1 w:val="00000000000000000000"/>
    <w:charset w:val="00"/>
    <w:family w:val="roman"/>
    <w:pitch w:val="default"/>
    <w:sig w:usb0="00000000" w:usb1="00000000" w:usb2="00000000" w:usb3="00000000" w:csb0="00000000" w:csb1="00000000"/>
  </w:font>
  <w:font w:name="方正小标宋简体">
    <w:altName w:val="仿宋_GB2312"/>
    <w:panose1 w:val="02000000000000000000"/>
    <w:charset w:val="86"/>
    <w:family w:val="auto"/>
    <w:pitch w:val="default"/>
    <w:sig w:usb0="00000000" w:usb1="00000000" w:usb2="00000012" w:usb3="00000000" w:csb0="00040001" w:csb1="00000000"/>
    <w:embedRegular r:id="rId5" w:fontKey="{ADA7DE3D-4F23-45E9-B549-445B7E8208CD}"/>
  </w:font>
  <w:font w:name="方正小标宋_GBK">
    <w:panose1 w:val="03000509000000000000"/>
    <w:charset w:val="86"/>
    <w:family w:val="script"/>
    <w:pitch w:val="default"/>
    <w:sig w:usb0="00000001" w:usb1="080E0000" w:usb2="00000000" w:usb3="00000000" w:csb0="00040000" w:csb1="00000000"/>
    <w:embedRegular r:id="rId6" w:fontKey="{DB2462C9-8CDA-4176-9CF1-3EBAD58F4863}"/>
  </w:font>
  <w:font w:name="等线">
    <w:altName w:val="宋体"/>
    <w:panose1 w:val="02010600030101010101"/>
    <w:charset w:val="86"/>
    <w:family w:val="auto"/>
    <w:pitch w:val="default"/>
    <w:sig w:usb0="00000000" w:usb1="00000000" w:usb2="00000016" w:usb3="00000000" w:csb0="0004000F" w:csb1="00000000"/>
  </w:font>
  <w:font w:name="Microsoft JhengHei">
    <w:panose1 w:val="020B0604030504040204"/>
    <w:charset w:val="88"/>
    <w:family w:val="swiss"/>
    <w:pitch w:val="default"/>
    <w:sig w:usb0="00000087" w:usb1="28AF4000" w:usb2="00000016" w:usb3="00000000" w:csb0="00100009" w:csb1="00000000"/>
    <w:embedRegular r:id="rId7" w:fontKey="{9AAE4341-5F16-494A-8E2C-8D73608719D4}"/>
  </w:font>
  <w:font w:name="楷体_GB2312">
    <w:panose1 w:val="02010609030101010101"/>
    <w:charset w:val="86"/>
    <w:family w:val="auto"/>
    <w:pitch w:val="default"/>
    <w:sig w:usb0="00000001" w:usb1="080E0000" w:usb2="00000000" w:usb3="00000000" w:csb0="00040000" w:csb1="00000000"/>
    <w:embedRegular r:id="rId8" w:fontKey="{FAEBB6B4-7312-490F-AD3E-BEA6830EE60E}"/>
  </w:font>
  <w:font w:name="华文中宋">
    <w:panose1 w:val="02010600040101010101"/>
    <w:charset w:val="86"/>
    <w:family w:val="auto"/>
    <w:pitch w:val="default"/>
    <w:sig w:usb0="00000287" w:usb1="080F0000" w:usb2="00000000" w:usb3="00000000" w:csb0="0004009F" w:csb1="DFD70000"/>
  </w:font>
  <w:font w:name="Mangal">
    <w:panose1 w:val="02040503050203030202"/>
    <w:charset w:val="00"/>
    <w:family w:val="auto"/>
    <w:pitch w:val="default"/>
    <w:sig w:usb0="00008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embedRegular r:id="rId9" w:fontKey="{BD210712-F99D-48D6-9998-0E91511D85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194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36287">
                          <w:pPr>
                            <w:pStyle w:val="8"/>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fldChar w:fldCharType="begin"/>
                          </w:r>
                          <w:r>
                            <w:rPr>
                              <w:rFonts w:hint="eastAsia" w:ascii="楷体_GB2312" w:hAnsi="楷体_GB2312" w:eastAsia="楷体_GB2312" w:cs="楷体_GB2312"/>
                              <w:sz w:val="24"/>
                              <w:szCs w:val="24"/>
                            </w:rPr>
                            <w:instrText xml:space="preserve"> PAGE  \* MERGEFORMAT </w:instrText>
                          </w:r>
                          <w:r>
                            <w:rPr>
                              <w:rFonts w:hint="eastAsia" w:ascii="楷体_GB2312" w:hAnsi="楷体_GB2312" w:eastAsia="楷体_GB2312" w:cs="楷体_GB2312"/>
                              <w:sz w:val="24"/>
                              <w:szCs w:val="24"/>
                            </w:rPr>
                            <w:fldChar w:fldCharType="separate"/>
                          </w:r>
                          <w:r>
                            <w:rPr>
                              <w:rFonts w:hint="eastAsia" w:ascii="楷体_GB2312" w:hAnsi="楷体_GB2312" w:eastAsia="楷体_GB2312" w:cs="楷体_GB2312"/>
                              <w:sz w:val="24"/>
                              <w:szCs w:val="24"/>
                            </w:rPr>
                            <w:t>4</w:t>
                          </w:r>
                          <w:r>
                            <w:rPr>
                              <w:rFonts w:hint="eastAsia" w:ascii="楷体_GB2312" w:hAnsi="楷体_GB2312" w:eastAsia="楷体_GB2312" w:cs="楷体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F36287">
                    <w:pPr>
                      <w:pStyle w:val="8"/>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fldChar w:fldCharType="begin"/>
                    </w:r>
                    <w:r>
                      <w:rPr>
                        <w:rFonts w:hint="eastAsia" w:ascii="楷体_GB2312" w:hAnsi="楷体_GB2312" w:eastAsia="楷体_GB2312" w:cs="楷体_GB2312"/>
                        <w:sz w:val="24"/>
                        <w:szCs w:val="24"/>
                      </w:rPr>
                      <w:instrText xml:space="preserve"> PAGE  \* MERGEFORMAT </w:instrText>
                    </w:r>
                    <w:r>
                      <w:rPr>
                        <w:rFonts w:hint="eastAsia" w:ascii="楷体_GB2312" w:hAnsi="楷体_GB2312" w:eastAsia="楷体_GB2312" w:cs="楷体_GB2312"/>
                        <w:sz w:val="24"/>
                        <w:szCs w:val="24"/>
                      </w:rPr>
                      <w:fldChar w:fldCharType="separate"/>
                    </w:r>
                    <w:r>
                      <w:rPr>
                        <w:rFonts w:hint="eastAsia" w:ascii="楷体_GB2312" w:hAnsi="楷体_GB2312" w:eastAsia="楷体_GB2312" w:cs="楷体_GB2312"/>
                        <w:sz w:val="24"/>
                        <w:szCs w:val="24"/>
                      </w:rPr>
                      <w:t>4</w:t>
                    </w:r>
                    <w:r>
                      <w:rPr>
                        <w:rFonts w:hint="eastAsia" w:ascii="楷体_GB2312" w:hAnsi="楷体_GB2312" w:eastAsia="楷体_GB2312" w:cs="楷体_GB2312"/>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829343"/>
    <w:multiLevelType w:val="singleLevel"/>
    <w:tmpl w:val="CB829343"/>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2720389B"/>
    <w:multiLevelType w:val="multilevel"/>
    <w:tmpl w:val="2720389B"/>
    <w:lvl w:ilvl="0" w:tentative="0">
      <w:start w:val="1"/>
      <w:numFmt w:val="japaneseCounting"/>
      <w:lvlText w:val="%1、"/>
      <w:lvlJc w:val="left"/>
      <w:pPr>
        <w:ind w:left="640" w:hanging="6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5OWUzN2Q3MzBkMmYxNjMwMTkyYjEzYTkwOGNlYWYifQ=="/>
  </w:docVars>
  <w:rsids>
    <w:rsidRoot w:val="464220DC"/>
    <w:rsid w:val="00084937"/>
    <w:rsid w:val="0008583C"/>
    <w:rsid w:val="000E22DD"/>
    <w:rsid w:val="001A2CFE"/>
    <w:rsid w:val="001C7E4C"/>
    <w:rsid w:val="003B361B"/>
    <w:rsid w:val="003C2F57"/>
    <w:rsid w:val="00476877"/>
    <w:rsid w:val="00597FF4"/>
    <w:rsid w:val="005A21CD"/>
    <w:rsid w:val="00603327"/>
    <w:rsid w:val="006572B4"/>
    <w:rsid w:val="006910AA"/>
    <w:rsid w:val="007553F1"/>
    <w:rsid w:val="007B0067"/>
    <w:rsid w:val="00844A0B"/>
    <w:rsid w:val="008A5A52"/>
    <w:rsid w:val="008B2CF7"/>
    <w:rsid w:val="00967BD2"/>
    <w:rsid w:val="00A478A8"/>
    <w:rsid w:val="00A85047"/>
    <w:rsid w:val="00D46331"/>
    <w:rsid w:val="00D7206A"/>
    <w:rsid w:val="00DA5239"/>
    <w:rsid w:val="00F861D3"/>
    <w:rsid w:val="01594F55"/>
    <w:rsid w:val="018B34CE"/>
    <w:rsid w:val="06587D46"/>
    <w:rsid w:val="0736648A"/>
    <w:rsid w:val="08EF690D"/>
    <w:rsid w:val="09702708"/>
    <w:rsid w:val="0C322B1C"/>
    <w:rsid w:val="0DEC4A84"/>
    <w:rsid w:val="0E205A94"/>
    <w:rsid w:val="0EEE1780"/>
    <w:rsid w:val="135C42C4"/>
    <w:rsid w:val="13D6674E"/>
    <w:rsid w:val="13DA4490"/>
    <w:rsid w:val="16841ED7"/>
    <w:rsid w:val="16FE7FF8"/>
    <w:rsid w:val="180454CA"/>
    <w:rsid w:val="19C71013"/>
    <w:rsid w:val="1D5A03F0"/>
    <w:rsid w:val="1E366767"/>
    <w:rsid w:val="1E7554E1"/>
    <w:rsid w:val="20AE510E"/>
    <w:rsid w:val="237A5348"/>
    <w:rsid w:val="257D4C7B"/>
    <w:rsid w:val="25CD65B8"/>
    <w:rsid w:val="26376502"/>
    <w:rsid w:val="26FC0B91"/>
    <w:rsid w:val="28B76C59"/>
    <w:rsid w:val="28C57065"/>
    <w:rsid w:val="29037B8D"/>
    <w:rsid w:val="2B387E77"/>
    <w:rsid w:val="2B585F6F"/>
    <w:rsid w:val="2B9E289E"/>
    <w:rsid w:val="30AD1FAE"/>
    <w:rsid w:val="31364BAF"/>
    <w:rsid w:val="31C3435E"/>
    <w:rsid w:val="34144E8B"/>
    <w:rsid w:val="34286628"/>
    <w:rsid w:val="375B3D12"/>
    <w:rsid w:val="39744EDB"/>
    <w:rsid w:val="3A7C224E"/>
    <w:rsid w:val="3CEC4D67"/>
    <w:rsid w:val="3FB1562F"/>
    <w:rsid w:val="427659F2"/>
    <w:rsid w:val="443F5AC6"/>
    <w:rsid w:val="456B31CF"/>
    <w:rsid w:val="461E5814"/>
    <w:rsid w:val="464220DC"/>
    <w:rsid w:val="4C453E95"/>
    <w:rsid w:val="502C34B2"/>
    <w:rsid w:val="5057FB03"/>
    <w:rsid w:val="51D95C2B"/>
    <w:rsid w:val="52B0783A"/>
    <w:rsid w:val="561D378D"/>
    <w:rsid w:val="574F60E0"/>
    <w:rsid w:val="5B162F19"/>
    <w:rsid w:val="5BD3501A"/>
    <w:rsid w:val="5DF363BA"/>
    <w:rsid w:val="5E180F16"/>
    <w:rsid w:val="5F3A715E"/>
    <w:rsid w:val="5FA5D08C"/>
    <w:rsid w:val="5FDDF6BF"/>
    <w:rsid w:val="604007A4"/>
    <w:rsid w:val="62D11AAF"/>
    <w:rsid w:val="63FF44D2"/>
    <w:rsid w:val="67F340AC"/>
    <w:rsid w:val="67FE9CEB"/>
    <w:rsid w:val="69E74D61"/>
    <w:rsid w:val="6A5A4B58"/>
    <w:rsid w:val="6AE7B4F1"/>
    <w:rsid w:val="6B2743D9"/>
    <w:rsid w:val="6DE210EC"/>
    <w:rsid w:val="6DE9541A"/>
    <w:rsid w:val="6DEA5DF4"/>
    <w:rsid w:val="6FFEAC3A"/>
    <w:rsid w:val="72AB187B"/>
    <w:rsid w:val="72F316A6"/>
    <w:rsid w:val="734D15F7"/>
    <w:rsid w:val="74315613"/>
    <w:rsid w:val="78B32B40"/>
    <w:rsid w:val="79FA5A10"/>
    <w:rsid w:val="7C0641F8"/>
    <w:rsid w:val="7E7D4C53"/>
    <w:rsid w:val="7FCFA379"/>
    <w:rsid w:val="9B7B5FA1"/>
    <w:rsid w:val="AFEF86A5"/>
    <w:rsid w:val="DCFA44D0"/>
    <w:rsid w:val="EEA948FC"/>
    <w:rsid w:val="EFEF8D29"/>
    <w:rsid w:val="FFFD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
    <w:pPr>
      <w:keepNext/>
      <w:keepLines/>
      <w:spacing w:before="260" w:after="260" w:line="416" w:lineRule="auto"/>
      <w:outlineLvl w:val="1"/>
    </w:pPr>
    <w:rPr>
      <w:rFonts w:ascii="Cambria" w:hAnsi="Cambria"/>
      <w:b/>
      <w:bCs/>
      <w:sz w:val="32"/>
      <w:szCs w:val="32"/>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rPr>
  </w:style>
  <w:style w:type="paragraph" w:styleId="5">
    <w:name w:val="Body Text"/>
    <w:basedOn w:val="1"/>
    <w:qFormat/>
    <w:uiPriority w:val="0"/>
    <w:pPr>
      <w:spacing w:after="140" w:line="276" w:lineRule="auto"/>
    </w:p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iPriority w:val="0"/>
    <w:pPr>
      <w:ind w:left="840" w:leftChars="400"/>
    </w:pPr>
  </w:style>
  <w:style w:type="paragraph" w:styleId="8">
    <w:name w:val="footer"/>
    <w:basedOn w:val="1"/>
    <w:link w:val="29"/>
    <w:qFormat/>
    <w:uiPriority w:val="0"/>
    <w:pPr>
      <w:tabs>
        <w:tab w:val="center" w:pos="4153"/>
        <w:tab w:val="right" w:pos="8306"/>
      </w:tabs>
      <w:snapToGrid w:val="0"/>
      <w:jc w:val="left"/>
    </w:pPr>
    <w:rPr>
      <w:sz w:val="18"/>
      <w:szCs w:val="18"/>
    </w:rPr>
  </w:style>
  <w:style w:type="paragraph" w:styleId="9">
    <w:name w:val="header"/>
    <w:basedOn w:val="1"/>
    <w:link w:val="28"/>
    <w:qFormat/>
    <w:uiPriority w:val="0"/>
    <w:pP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List"/>
    <w:basedOn w:val="5"/>
    <w:qFormat/>
    <w:uiPriority w:val="0"/>
  </w:style>
  <w:style w:type="paragraph" w:styleId="12">
    <w:name w:val="footnote text"/>
    <w:basedOn w:val="1"/>
    <w:next w:val="13"/>
    <w:semiHidden/>
    <w:qFormat/>
    <w:uiPriority w:val="0"/>
    <w:pPr>
      <w:snapToGrid w:val="0"/>
      <w:jc w:val="left"/>
    </w:pPr>
    <w:rPr>
      <w:sz w:val="18"/>
      <w:szCs w:val="18"/>
    </w:rPr>
  </w:style>
  <w:style w:type="paragraph" w:styleId="13">
    <w:name w:val="Body Text First Indent 2"/>
    <w:basedOn w:val="6"/>
    <w:unhideWhenUsed/>
    <w:qFormat/>
    <w:uiPriority w:val="99"/>
    <w:pPr>
      <w:ind w:firstLine="420" w:firstLineChars="200"/>
    </w:pPr>
  </w:style>
  <w:style w:type="paragraph" w:styleId="14">
    <w:name w:val="toc 2"/>
    <w:basedOn w:val="1"/>
    <w:next w:val="1"/>
    <w:unhideWhenUsed/>
    <w:qFormat/>
    <w:uiPriority w:val="39"/>
    <w:pPr>
      <w:tabs>
        <w:tab w:val="right" w:leader="dot" w:pos="8296"/>
      </w:tabs>
      <w:ind w:left="420" w:left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99"/>
    <w:rPr>
      <w:b/>
    </w:rPr>
  </w:style>
  <w:style w:type="character" w:styleId="19">
    <w:name w:val="Hyperlink"/>
    <w:basedOn w:val="17"/>
    <w:unhideWhenUsed/>
    <w:qFormat/>
    <w:uiPriority w:val="99"/>
    <w:rPr>
      <w:color w:val="0000FF"/>
      <w:u w:val="single"/>
    </w:rPr>
  </w:style>
  <w:style w:type="character" w:customStyle="1" w:styleId="20">
    <w:name w:val="标题 1 字符"/>
    <w:basedOn w:val="17"/>
    <w:link w:val="2"/>
    <w:qFormat/>
    <w:uiPriority w:val="9"/>
    <w:rPr>
      <w:b/>
      <w:bCs/>
      <w:kern w:val="44"/>
      <w:sz w:val="44"/>
      <w:szCs w:val="44"/>
    </w:rPr>
  </w:style>
  <w:style w:type="character" w:customStyle="1" w:styleId="21">
    <w:name w:val="标题 2 字符"/>
    <w:basedOn w:val="17"/>
    <w:link w:val="3"/>
    <w:qFormat/>
    <w:uiPriority w:val="9"/>
    <w:rPr>
      <w:rFonts w:ascii="Cambria" w:hAnsi="Cambria" w:eastAsia="宋体" w:cs="Times New Roman"/>
      <w:b/>
      <w:bCs/>
      <w:sz w:val="32"/>
      <w:szCs w:val="32"/>
    </w:rPr>
  </w:style>
  <w:style w:type="character" w:customStyle="1" w:styleId="22">
    <w:name w:val="默认段落字体1"/>
    <w:qFormat/>
    <w:uiPriority w:val="0"/>
  </w:style>
  <w:style w:type="paragraph" w:customStyle="1" w:styleId="23">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24">
    <w:name w:val="Index"/>
    <w:basedOn w:val="1"/>
    <w:qFormat/>
    <w:uiPriority w:val="0"/>
    <w:pPr>
      <w:suppressLineNumbers/>
    </w:pPr>
  </w:style>
  <w:style w:type="paragraph" w:styleId="25">
    <w:name w:val="List Paragraph"/>
    <w:basedOn w:val="1"/>
    <w:qFormat/>
    <w:uiPriority w:val="1"/>
    <w:pPr>
      <w:ind w:firstLine="420" w:firstLineChars="200"/>
    </w:p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7">
    <w:name w:val="四号正文"/>
    <w:basedOn w:val="1"/>
    <w:qFormat/>
    <w:uiPriority w:val="0"/>
    <w:pPr>
      <w:spacing w:line="360" w:lineRule="auto"/>
    </w:pPr>
    <w:rPr>
      <w:rFonts w:ascii="??" w:hAnsi="??"/>
      <w:color w:val="000000"/>
      <w:kern w:val="0"/>
      <w:sz w:val="28"/>
      <w:szCs w:val="21"/>
      <w:lang w:val="zh-CN"/>
    </w:rPr>
  </w:style>
  <w:style w:type="character" w:customStyle="1" w:styleId="28">
    <w:name w:val="页眉 字符"/>
    <w:basedOn w:val="17"/>
    <w:link w:val="9"/>
    <w:qFormat/>
    <w:uiPriority w:val="0"/>
    <w:rPr>
      <w:rFonts w:ascii="Calibri" w:hAnsi="Calibri"/>
      <w:kern w:val="2"/>
      <w:sz w:val="18"/>
      <w:szCs w:val="18"/>
    </w:rPr>
  </w:style>
  <w:style w:type="character" w:customStyle="1" w:styleId="29">
    <w:name w:val="页脚 字符"/>
    <w:basedOn w:val="17"/>
    <w:link w:val="8"/>
    <w:qFormat/>
    <w:uiPriority w:val="0"/>
    <w:rPr>
      <w:rFonts w:ascii="Calibri" w:hAnsi="Calibri"/>
      <w:kern w:val="2"/>
      <w:sz w:val="18"/>
      <w:szCs w:val="18"/>
    </w:rPr>
  </w:style>
  <w:style w:type="character" w:customStyle="1" w:styleId="30">
    <w:name w:val="font51"/>
    <w:basedOn w:val="17"/>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home\user\C:\home\uos\C:\Users\Administrator\Desktop\2023&#24180;&#37096;&#38376;&#20915;&#31639;&#20844;&#24320;.dotx"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Microsoft%20Word%20&#20013;&#30340;&#22270;&#34920;"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Microsoft%20Word%20&#20013;&#30340;&#22270;&#34920;"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Microsoft%20Word%20&#20013;&#30340;&#22270;&#34920;"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Microsoft%20Word%20&#20013;&#30340;&#22270;&#34920;"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Microsoft%20Word%20&#20013;&#30340;&#22270;&#34920;"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G:\&#22270;&#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Microsoft%20Word%20&#20013;&#30340;&#22270;&#34920;"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收、支决算总计变动情况图</a:t>
            </a:r>
            <a:r>
              <a:rPr lang="zh-CN" altLang="en-US" sz="1400" b="0" i="0" u="none" strike="noStrike" baseline="0">
                <a:effectLst/>
              </a:rPr>
              <a:t>（万元）</a:t>
            </a:r>
            <a:endParaRPr lang="zh-CN" altLang="en-US"/>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中的图表]Sheet1'!$A$2:$A$3</c:f>
              <c:strCache>
                <c:ptCount val="2"/>
                <c:pt idx="0">
                  <c:v>2022年</c:v>
                </c:pt>
                <c:pt idx="1">
                  <c:v>2023年</c:v>
                </c:pt>
              </c:strCache>
            </c:strRef>
          </c:cat>
          <c:val>
            <c:numRef>
              <c:f>'[Microsoft Word 中的图表]Sheet1'!$B$2:$B$3</c:f>
              <c:numCache>
                <c:formatCode>General</c:formatCode>
                <c:ptCount val="2"/>
                <c:pt idx="0">
                  <c:v>1154.44</c:v>
                </c:pt>
                <c:pt idx="1">
                  <c:v>931.4</c:v>
                </c:pt>
              </c:numCache>
            </c:numRef>
          </c:val>
        </c:ser>
        <c:dLbls>
          <c:showLegendKey val="0"/>
          <c:showVal val="0"/>
          <c:showCatName val="0"/>
          <c:showSerName val="0"/>
          <c:showPercent val="0"/>
          <c:showBubbleSize val="0"/>
        </c:dLbls>
        <c:gapWidth val="219"/>
        <c:overlap val="-27"/>
        <c:axId val="1250347584"/>
        <c:axId val="1250355744"/>
      </c:barChart>
      <c:catAx>
        <c:axId val="1250347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0355744"/>
        <c:crosses val="autoZero"/>
        <c:auto val="1"/>
        <c:lblAlgn val="ctr"/>
        <c:lblOffset val="100"/>
        <c:noMultiLvlLbl val="0"/>
      </c:catAx>
      <c:valAx>
        <c:axId val="1250355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0347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收入决算结构图</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中的图表]Sheet1'!$A$11:$A$12</c:f>
              <c:strCache>
                <c:ptCount val="2"/>
                <c:pt idx="0">
                  <c:v>一般公共预算财政拨款收入</c:v>
                </c:pt>
                <c:pt idx="1">
                  <c:v>其他收入</c:v>
                </c:pt>
              </c:strCache>
            </c:strRef>
          </c:cat>
          <c:val>
            <c:numRef>
              <c:f>'[Microsoft Word 中的图表]Sheet1'!$B$11:$B$12</c:f>
              <c:numCache>
                <c:formatCode>0.00%</c:formatCode>
                <c:ptCount val="2"/>
                <c:pt idx="0">
                  <c:v>0.8244</c:v>
                </c:pt>
                <c:pt idx="1">
                  <c:v>0.1756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支出决算结构图</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中的图表]Sheet1'!$A$14:$A$15</c:f>
              <c:strCache>
                <c:ptCount val="2"/>
                <c:pt idx="0">
                  <c:v>基本支出</c:v>
                </c:pt>
                <c:pt idx="1">
                  <c:v>项目支出</c:v>
                </c:pt>
              </c:strCache>
            </c:strRef>
          </c:cat>
          <c:val>
            <c:numRef>
              <c:f>'[Microsoft Word 中的图表]Sheet1'!$B$14:$B$15</c:f>
              <c:numCache>
                <c:formatCode>0.00%</c:formatCode>
                <c:ptCount val="2"/>
                <c:pt idx="0">
                  <c:v>0.7604</c:v>
                </c:pt>
                <c:pt idx="1">
                  <c:v>0.2396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财政拨款收、支决算总计变动情况</a:t>
            </a:r>
            <a:r>
              <a:rPr lang="zh-CN" altLang="en-US" sz="1400" b="0" i="0" u="none" strike="noStrike" baseline="0">
                <a:effectLst/>
              </a:rPr>
              <a:t>（万元）</a:t>
            </a:r>
            <a:endParaRPr lang="zh-CN" altLang="en-US"/>
          </a:p>
        </c:rich>
      </c:tx>
      <c:layout>
        <c:manualLayout>
          <c:xMode val="edge"/>
          <c:yMode val="edge"/>
          <c:x val="0.159191367440326"/>
          <c:y val="0.0231482218568833"/>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中的图表]Sheet1'!$A$17:$A$18</c:f>
              <c:strCache>
                <c:ptCount val="2"/>
                <c:pt idx="0">
                  <c:v>2022年</c:v>
                </c:pt>
                <c:pt idx="1">
                  <c:v>2023年</c:v>
                </c:pt>
              </c:strCache>
            </c:strRef>
          </c:cat>
          <c:val>
            <c:numRef>
              <c:f>'[Microsoft Word 中的图表]Sheet1'!$B$17:$B$18</c:f>
              <c:numCache>
                <c:formatCode>General</c:formatCode>
                <c:ptCount val="2"/>
                <c:pt idx="0">
                  <c:v>707</c:v>
                </c:pt>
                <c:pt idx="1">
                  <c:v>767.89</c:v>
                </c:pt>
              </c:numCache>
            </c:numRef>
          </c:val>
        </c:ser>
        <c:dLbls>
          <c:showLegendKey val="0"/>
          <c:showVal val="1"/>
          <c:showCatName val="0"/>
          <c:showSerName val="0"/>
          <c:showPercent val="0"/>
          <c:showBubbleSize val="0"/>
        </c:dLbls>
        <c:gapWidth val="219"/>
        <c:overlap val="-27"/>
        <c:axId val="653048128"/>
        <c:axId val="674645184"/>
      </c:barChart>
      <c:catAx>
        <c:axId val="653048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4645184"/>
        <c:crosses val="autoZero"/>
        <c:auto val="1"/>
        <c:lblAlgn val="ctr"/>
        <c:lblOffset val="100"/>
        <c:noMultiLvlLbl val="0"/>
      </c:catAx>
      <c:valAx>
        <c:axId val="674645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3048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一般公共预算财政拨款支出决算变动情况</a:t>
            </a:r>
            <a:r>
              <a:rPr lang="zh-CN" altLang="en-US" sz="1400" b="0" i="0" u="none" strike="noStrike" baseline="0">
                <a:effectLst/>
              </a:rPr>
              <a:t>（万元）</a:t>
            </a:r>
            <a:endParaRPr lang="zh-CN" altLang="en-US"/>
          </a:p>
        </c:rich>
      </c:tx>
      <c:layout>
        <c:manualLayout>
          <c:xMode val="edge"/>
          <c:yMode val="edge"/>
          <c:x val="0.0805555555555556"/>
          <c:y val="0.0231481481481481"/>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中的图表]Sheet1'!$A$17:$A$18</c:f>
              <c:strCache>
                <c:ptCount val="2"/>
                <c:pt idx="0">
                  <c:v>2022年</c:v>
                </c:pt>
                <c:pt idx="1">
                  <c:v>2023年</c:v>
                </c:pt>
              </c:strCache>
            </c:strRef>
          </c:cat>
          <c:val>
            <c:numRef>
              <c:f>'[Microsoft Word 中的图表]Sheet1'!$B$17:$B$18</c:f>
              <c:numCache>
                <c:formatCode>General</c:formatCode>
                <c:ptCount val="2"/>
                <c:pt idx="0">
                  <c:v>707</c:v>
                </c:pt>
                <c:pt idx="1">
                  <c:v>767.89</c:v>
                </c:pt>
              </c:numCache>
            </c:numRef>
          </c:val>
        </c:ser>
        <c:dLbls>
          <c:showLegendKey val="0"/>
          <c:showVal val="1"/>
          <c:showCatName val="0"/>
          <c:showSerName val="0"/>
          <c:showPercent val="0"/>
          <c:showBubbleSize val="0"/>
        </c:dLbls>
        <c:gapWidth val="219"/>
        <c:overlap val="-27"/>
        <c:axId val="653048128"/>
        <c:axId val="674645184"/>
      </c:barChart>
      <c:catAx>
        <c:axId val="653048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4645184"/>
        <c:crosses val="autoZero"/>
        <c:auto val="1"/>
        <c:lblAlgn val="ctr"/>
        <c:lblOffset val="100"/>
        <c:noMultiLvlLbl val="0"/>
      </c:catAx>
      <c:valAx>
        <c:axId val="674645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3048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3"/>
              </a:solidFill>
              <a:ln w="19050">
                <a:solidFill>
                  <a:schemeClr val="lt1"/>
                </a:solidFill>
              </a:ln>
              <a:effectLst/>
            </c:spPr>
          </c:dPt>
          <c:dPt>
            <c:idx val="2"/>
            <c:bubble3D val="0"/>
            <c:spPr>
              <a:solidFill>
                <a:schemeClr val="accent5"/>
              </a:solidFill>
              <a:ln w="19050">
                <a:solidFill>
                  <a:schemeClr val="lt1"/>
                </a:solidFill>
              </a:ln>
              <a:effectLst/>
            </c:spPr>
          </c:dPt>
          <c:dPt>
            <c:idx val="3"/>
            <c:bubble3D val="0"/>
            <c:spPr>
              <a:solidFill>
                <a:schemeClr val="accent1">
                  <a:lumMod val="60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[图表.xlsx]Sheet2!$A$1:$A$4</c:f>
              <c:strCache>
                <c:ptCount val="4"/>
                <c:pt idx="0">
                  <c:v>公共安全支出</c:v>
                </c:pt>
                <c:pt idx="1">
                  <c:v>社会保障和就业支出</c:v>
                </c:pt>
                <c:pt idx="2">
                  <c:v>卫生健康支出</c:v>
                </c:pt>
                <c:pt idx="3">
                  <c:v>住房保障支出</c:v>
                </c:pt>
              </c:strCache>
            </c:strRef>
          </c:cat>
          <c:val>
            <c:numRef>
              <c:f>[图表.xlsx]Sheet2!$B$1:$B$4</c:f>
              <c:numCache>
                <c:formatCode>0.00%</c:formatCode>
                <c:ptCount val="4"/>
                <c:pt idx="0">
                  <c:v>0.8892</c:v>
                </c:pt>
                <c:pt idx="1">
                  <c:v>0.0491</c:v>
                </c:pt>
                <c:pt idx="2">
                  <c:v>0.0236</c:v>
                </c:pt>
                <c:pt idx="3">
                  <c:v>0.0381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“三公”经费财政拨款支出结构</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'[Microsoft Word 中的图表]Sheet1'!$A$30:$A$31</c:f>
              <c:strCache>
                <c:ptCount val="2"/>
                <c:pt idx="0">
                  <c:v>公务用车购置及运行维护费支出</c:v>
                </c:pt>
                <c:pt idx="1">
                  <c:v>公务接待费支出</c:v>
                </c:pt>
              </c:strCache>
            </c:strRef>
          </c:cat>
          <c:val>
            <c:numRef>
              <c:f>'[Microsoft Word 中的图表]Sheet1'!$B$30:$B$31</c:f>
              <c:numCache>
                <c:formatCode>0.00%</c:formatCode>
                <c:ptCount val="2"/>
                <c:pt idx="0">
                  <c:v>0.9725</c:v>
                </c:pt>
                <c:pt idx="1">
                  <c:v>0.0275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2023年部门决算公开.dotx</Template>
  <Pages>41</Pages>
  <Words>8507</Words>
  <Characters>9236</Characters>
  <Lines>90</Lines>
  <Paragraphs>25</Paragraphs>
  <TotalTime>13</TotalTime>
  <ScaleCrop>false</ScaleCrop>
  <LinksUpToDate>false</LinksUpToDate>
  <CharactersWithSpaces>9380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2024-09-09T18:02:00Z</dcterms:created>
  <dc:creator>Administrator</dc:creator>
  <cp:lastModifiedBy>Administrator</cp:lastModifiedBy>
  <cp:lastPrinted>2024-09-12T21:50:00Z</cp:lastPrinted>
  <dcterms:modified xsi:type="dcterms:W3CDTF">2024-09-29T02:16:25Z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AAF3E0E035A541E68D16571F1F3C019D_13</vt:lpwstr>
  </property>
</Properties>
</file>